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18F21C3" w:rsidR="00DD3D9E" w:rsidRPr="00695373" w:rsidRDefault="00807C34" w:rsidP="00695373">
      <w:pPr>
        <w:pStyle w:val="Els-Title"/>
        <w:spacing w:before="0" w:after="0"/>
        <w:jc w:val="both"/>
        <w:rPr>
          <w:color w:val="000000" w:themeColor="text1"/>
          <w:lang w:val="en-GB"/>
        </w:rPr>
      </w:pPr>
      <w:bookmarkStart w:id="0" w:name="_Hlk150703704"/>
      <w:r w:rsidRPr="00807C34">
        <w:rPr>
          <w:color w:val="000000" w:themeColor="text1"/>
        </w:rPr>
        <w:t>Impact assessment of CO</w:t>
      </w:r>
      <w:r w:rsidRPr="009B7D28">
        <w:rPr>
          <w:color w:val="000000" w:themeColor="text1"/>
          <w:vertAlign w:val="subscript"/>
        </w:rPr>
        <w:t>2</w:t>
      </w:r>
      <w:r w:rsidRPr="00807C34">
        <w:rPr>
          <w:color w:val="000000" w:themeColor="text1"/>
        </w:rPr>
        <w:t xml:space="preserve"> </w:t>
      </w:r>
      <w:r w:rsidR="0003703D">
        <w:rPr>
          <w:color w:val="000000" w:themeColor="text1"/>
        </w:rPr>
        <w:t>c</w:t>
      </w:r>
      <w:r w:rsidR="0003703D" w:rsidRPr="00807C34">
        <w:rPr>
          <w:color w:val="000000" w:themeColor="text1"/>
        </w:rPr>
        <w:t xml:space="preserve">apture </w:t>
      </w:r>
      <w:r w:rsidRPr="00807C34">
        <w:rPr>
          <w:color w:val="000000" w:themeColor="text1"/>
        </w:rPr>
        <w:t xml:space="preserve">and </w:t>
      </w:r>
      <w:r w:rsidR="0003703D">
        <w:rPr>
          <w:color w:val="000000" w:themeColor="text1"/>
        </w:rPr>
        <w:t>l</w:t>
      </w:r>
      <w:r w:rsidR="0003703D" w:rsidRPr="00807C34">
        <w:rPr>
          <w:color w:val="000000" w:themeColor="text1"/>
        </w:rPr>
        <w:t>ow</w:t>
      </w:r>
      <w:r w:rsidRPr="00807C34">
        <w:rPr>
          <w:color w:val="000000" w:themeColor="text1"/>
        </w:rPr>
        <w:t>-</w:t>
      </w:r>
      <w:r w:rsidR="0003703D">
        <w:rPr>
          <w:color w:val="000000" w:themeColor="text1"/>
        </w:rPr>
        <w:t>c</w:t>
      </w:r>
      <w:r w:rsidR="0003703D" w:rsidRPr="00807C34">
        <w:rPr>
          <w:color w:val="000000" w:themeColor="text1"/>
        </w:rPr>
        <w:t xml:space="preserve">arbon </w:t>
      </w:r>
      <w:r w:rsidR="0003703D">
        <w:rPr>
          <w:color w:val="000000" w:themeColor="text1"/>
        </w:rPr>
        <w:t>h</w:t>
      </w:r>
      <w:r w:rsidR="0003703D" w:rsidRPr="00807C34">
        <w:rPr>
          <w:color w:val="000000" w:themeColor="text1"/>
        </w:rPr>
        <w:t xml:space="preserve">ydrogen </w:t>
      </w:r>
      <w:r w:rsidRPr="00807C34">
        <w:rPr>
          <w:color w:val="000000" w:themeColor="text1"/>
        </w:rPr>
        <w:t>technologies in Colombian oil refineries</w:t>
      </w:r>
    </w:p>
    <w:bookmarkEnd w:id="0"/>
    <w:p w14:paraId="0677E0FF" w14:textId="709E4CAD" w:rsidR="00C01D2D" w:rsidRPr="008379C8" w:rsidRDefault="00C01D2D" w:rsidP="00695373">
      <w:pPr>
        <w:pStyle w:val="Els-Author"/>
        <w:keepNext w:val="0"/>
        <w:spacing w:after="0"/>
        <w:rPr>
          <w:lang w:val="es-CO"/>
        </w:rPr>
      </w:pPr>
      <w:r w:rsidRPr="008379C8">
        <w:rPr>
          <w:lang w:val="es-CO"/>
        </w:rPr>
        <w:t>Erik López Basto</w:t>
      </w:r>
      <w:r w:rsidR="008379C8" w:rsidRPr="008379C8">
        <w:rPr>
          <w:lang w:val="es-CO"/>
        </w:rPr>
        <w:t xml:space="preserve"> </w:t>
      </w:r>
      <w:r w:rsidRPr="008379C8">
        <w:rPr>
          <w:vertAlign w:val="superscript"/>
          <w:lang w:val="es-CO"/>
        </w:rPr>
        <w:t>a,b</w:t>
      </w:r>
      <w:r w:rsidR="009B7D28">
        <w:rPr>
          <w:vertAlign w:val="superscript"/>
          <w:lang w:val="es-CO"/>
        </w:rPr>
        <w:t>*</w:t>
      </w:r>
      <w:r w:rsidRPr="008379C8">
        <w:rPr>
          <w:lang w:val="es-CO"/>
        </w:rPr>
        <w:t xml:space="preserve"> , Gijsbert Korevaar</w:t>
      </w:r>
      <w:r w:rsidR="008379C8" w:rsidRPr="008379C8">
        <w:rPr>
          <w:lang w:val="es-CO"/>
        </w:rPr>
        <w:t xml:space="preserve"> </w:t>
      </w:r>
      <w:r w:rsidRPr="008379C8">
        <w:rPr>
          <w:vertAlign w:val="superscript"/>
          <w:lang w:val="es-CO"/>
        </w:rPr>
        <w:t>a</w:t>
      </w:r>
      <w:r w:rsidRPr="008379C8">
        <w:rPr>
          <w:lang w:val="es-CO"/>
        </w:rPr>
        <w:t>, Andrea Ramírez Ramírez</w:t>
      </w:r>
      <w:r w:rsidR="008379C8">
        <w:rPr>
          <w:lang w:val="es-CO"/>
        </w:rPr>
        <w:t xml:space="preserve"> </w:t>
      </w:r>
      <w:r w:rsidRPr="008379C8">
        <w:rPr>
          <w:vertAlign w:val="superscript"/>
          <w:lang w:val="es-CO"/>
        </w:rPr>
        <w:t>c</w:t>
      </w:r>
      <w:r w:rsidRPr="008379C8">
        <w:rPr>
          <w:lang w:val="es-CO"/>
        </w:rPr>
        <w:t xml:space="preserve">, </w:t>
      </w:r>
    </w:p>
    <w:p w14:paraId="3FFF48FD" w14:textId="6A37194D" w:rsidR="00C01D2D" w:rsidRPr="00695373" w:rsidRDefault="00C01D2D" w:rsidP="006F00E6">
      <w:pPr>
        <w:pStyle w:val="Els-Affiliation"/>
        <w:rPr>
          <w:sz w:val="14"/>
          <w:szCs w:val="14"/>
        </w:rPr>
      </w:pPr>
      <w:r w:rsidRPr="00695373">
        <w:rPr>
          <w:i w:val="0"/>
          <w:iCs/>
          <w:sz w:val="14"/>
          <w:szCs w:val="14"/>
          <w:vertAlign w:val="superscript"/>
        </w:rPr>
        <w:t>a</w:t>
      </w:r>
      <w:r w:rsidRPr="00695373">
        <w:rPr>
          <w:b/>
          <w:bCs/>
          <w:iCs/>
          <w:sz w:val="14"/>
          <w:szCs w:val="14"/>
        </w:rPr>
        <w:t xml:space="preserve"> </w:t>
      </w:r>
      <w:r w:rsidRPr="00695373">
        <w:rPr>
          <w:sz w:val="14"/>
          <w:szCs w:val="14"/>
        </w:rPr>
        <w:t xml:space="preserve">Department of Engineering Systems and Services, Faculty of Technology, Policy, and Management, Delft University of Technology, </w:t>
      </w:r>
      <w:r w:rsidR="001C3CF9" w:rsidRPr="00695373">
        <w:rPr>
          <w:sz w:val="14"/>
          <w:szCs w:val="14"/>
        </w:rPr>
        <w:t>T</w:t>
      </w:r>
      <w:r w:rsidRPr="00695373">
        <w:rPr>
          <w:sz w:val="14"/>
          <w:szCs w:val="14"/>
        </w:rPr>
        <w:t>he Netherlands</w:t>
      </w:r>
    </w:p>
    <w:p w14:paraId="3F9FEE26" w14:textId="41F6BA38" w:rsidR="00C01D2D" w:rsidRPr="00695373" w:rsidRDefault="00C01D2D" w:rsidP="006F00E6">
      <w:pPr>
        <w:pStyle w:val="Els-Affiliation"/>
        <w:rPr>
          <w:sz w:val="14"/>
          <w:szCs w:val="14"/>
          <w:lang w:val="es-CO"/>
        </w:rPr>
      </w:pPr>
      <w:r w:rsidRPr="00695373">
        <w:rPr>
          <w:sz w:val="14"/>
          <w:szCs w:val="14"/>
          <w:vertAlign w:val="superscript"/>
          <w:lang w:val="es-CO"/>
        </w:rPr>
        <w:t>b</w:t>
      </w:r>
      <w:r w:rsidRPr="00695373">
        <w:rPr>
          <w:sz w:val="14"/>
          <w:szCs w:val="14"/>
          <w:lang w:val="es-CO"/>
        </w:rPr>
        <w:t xml:space="preserve"> Cartagena Refinery. Ecopetrol S.A., Cartagena de Indias, Colombia</w:t>
      </w:r>
    </w:p>
    <w:p w14:paraId="22BAFF8A" w14:textId="6A33B044" w:rsidR="00254D92" w:rsidRPr="00695373" w:rsidRDefault="00C01D2D" w:rsidP="006F00E6">
      <w:pPr>
        <w:pStyle w:val="Els-Affiliation"/>
        <w:rPr>
          <w:sz w:val="14"/>
          <w:szCs w:val="14"/>
        </w:rPr>
      </w:pPr>
      <w:r w:rsidRPr="00695373">
        <w:rPr>
          <w:sz w:val="14"/>
          <w:szCs w:val="14"/>
          <w:vertAlign w:val="superscript"/>
        </w:rPr>
        <w:t>c</w:t>
      </w:r>
      <w:r w:rsidRPr="00695373">
        <w:rPr>
          <w:sz w:val="14"/>
          <w:szCs w:val="14"/>
        </w:rPr>
        <w:t xml:space="preserve"> Department of Chemical Engineering, Faculty of Applied Sciences, Delft University of Technology,</w:t>
      </w:r>
      <w:r w:rsidR="00254D92" w:rsidRPr="00695373">
        <w:rPr>
          <w:sz w:val="14"/>
          <w:szCs w:val="14"/>
        </w:rPr>
        <w:t xml:space="preserve"> </w:t>
      </w:r>
      <w:r w:rsidR="001C3CF9">
        <w:rPr>
          <w:sz w:val="14"/>
          <w:szCs w:val="14"/>
        </w:rPr>
        <w:t>T</w:t>
      </w:r>
      <w:r w:rsidRPr="00695373">
        <w:rPr>
          <w:sz w:val="14"/>
          <w:szCs w:val="14"/>
        </w:rPr>
        <w:t>he Netherlands</w:t>
      </w:r>
    </w:p>
    <w:p w14:paraId="757FF248" w14:textId="63685800" w:rsidR="00C01D2D" w:rsidRPr="00695373" w:rsidRDefault="00254D92" w:rsidP="006F00E6">
      <w:pPr>
        <w:pStyle w:val="Els-Affiliation"/>
        <w:rPr>
          <w:sz w:val="14"/>
          <w:szCs w:val="14"/>
        </w:rPr>
      </w:pPr>
      <w:r w:rsidRPr="00695373">
        <w:rPr>
          <w:sz w:val="14"/>
          <w:szCs w:val="14"/>
        </w:rPr>
        <w:t>Corresponding author email: e.lopezbasto@tudelft.nl</w:t>
      </w:r>
      <w:r w:rsidR="00C01D2D" w:rsidRPr="00695373">
        <w:rPr>
          <w:sz w:val="14"/>
          <w:szCs w:val="14"/>
        </w:rPr>
        <w:t xml:space="preserve"> </w:t>
      </w:r>
    </w:p>
    <w:p w14:paraId="2D701523" w14:textId="77777777" w:rsidR="00E515AA" w:rsidRPr="00E515AA" w:rsidRDefault="00E515AA" w:rsidP="006F00E6">
      <w:pPr>
        <w:pStyle w:val="Els-body-text"/>
      </w:pPr>
    </w:p>
    <w:p w14:paraId="144DE684" w14:textId="77777777" w:rsidR="008D2649" w:rsidRDefault="008D2649" w:rsidP="00E515AA">
      <w:pPr>
        <w:pStyle w:val="Els-Abstract"/>
        <w:keepNext w:val="0"/>
        <w:spacing w:before="0" w:after="0"/>
      </w:pPr>
      <w:r>
        <w:t>Abstract</w:t>
      </w:r>
    </w:p>
    <w:p w14:paraId="014CF680" w14:textId="2E04F171" w:rsidR="007C0B5F" w:rsidRPr="000C57EA" w:rsidRDefault="007C0B5F" w:rsidP="00695373">
      <w:pPr>
        <w:pStyle w:val="Els-body-text"/>
        <w:rPr>
          <w:lang w:val="en-GB"/>
        </w:rPr>
      </w:pPr>
      <w:bookmarkStart w:id="1" w:name="_Hlk150702756"/>
      <w:r w:rsidRPr="000C57EA">
        <w:rPr>
          <w:lang w:val="en-GB"/>
        </w:rPr>
        <w:t xml:space="preserve">This research uses system optimization </w:t>
      </w:r>
      <w:r w:rsidR="00B878A4">
        <w:rPr>
          <w:lang w:val="en-GB"/>
        </w:rPr>
        <w:t>to assess</w:t>
      </w:r>
      <w:r w:rsidRPr="000C57EA">
        <w:rPr>
          <w:lang w:val="en-GB"/>
        </w:rPr>
        <w:t xml:space="preserve"> short</w:t>
      </w:r>
      <w:r w:rsidR="007D6D82" w:rsidRPr="000C57EA">
        <w:rPr>
          <w:lang w:val="en-GB"/>
        </w:rPr>
        <w:t>, medium</w:t>
      </w:r>
      <w:r w:rsidR="002F4050" w:rsidRPr="000C57EA">
        <w:rPr>
          <w:lang w:val="en-GB"/>
        </w:rPr>
        <w:t>,</w:t>
      </w:r>
      <w:r w:rsidRPr="000C57EA">
        <w:rPr>
          <w:lang w:val="en-GB"/>
        </w:rPr>
        <w:t xml:space="preserve"> and long-term scenarios to achieve the committed CO</w:t>
      </w:r>
      <w:r w:rsidRPr="000C57EA">
        <w:rPr>
          <w:vertAlign w:val="subscript"/>
          <w:lang w:val="en-GB"/>
        </w:rPr>
        <w:t>2</w:t>
      </w:r>
      <w:r w:rsidRPr="000C57EA">
        <w:rPr>
          <w:lang w:val="en-GB"/>
        </w:rPr>
        <w:t xml:space="preserve">-emission goals </w:t>
      </w:r>
      <w:r w:rsidR="00962283">
        <w:rPr>
          <w:lang w:val="en-GB"/>
        </w:rPr>
        <w:t xml:space="preserve">of Ecopetrol </w:t>
      </w:r>
      <w:r w:rsidRPr="000C57EA">
        <w:rPr>
          <w:lang w:val="en-GB"/>
        </w:rPr>
        <w:t>while minimizing potential adverse impacts</w:t>
      </w:r>
      <w:r w:rsidR="000A42D9" w:rsidRPr="000C57EA">
        <w:rPr>
          <w:lang w:val="en-GB"/>
        </w:rPr>
        <w:t xml:space="preserve"> such as incremental operational costs and </w:t>
      </w:r>
      <w:r w:rsidR="00274ED0" w:rsidRPr="000C57EA">
        <w:rPr>
          <w:lang w:val="en-GB"/>
        </w:rPr>
        <w:t>utility</w:t>
      </w:r>
      <w:r w:rsidR="000A42D9" w:rsidRPr="000C57EA">
        <w:rPr>
          <w:lang w:val="en-GB"/>
        </w:rPr>
        <w:t xml:space="preserve"> demand.</w:t>
      </w:r>
      <w:r w:rsidRPr="000C57EA">
        <w:rPr>
          <w:lang w:val="en-GB"/>
        </w:rPr>
        <w:t xml:space="preserve"> Two Colombian refineries are used as a case study: a </w:t>
      </w:r>
      <w:r w:rsidR="007F703A" w:rsidRPr="000C57EA">
        <w:rPr>
          <w:lang w:val="en-GB"/>
        </w:rPr>
        <w:t>medium</w:t>
      </w:r>
      <w:r w:rsidR="007F703A">
        <w:rPr>
          <w:lang w:val="en-GB"/>
        </w:rPr>
        <w:t>-</w:t>
      </w:r>
      <w:r w:rsidRPr="000C57EA">
        <w:rPr>
          <w:lang w:val="en-GB"/>
        </w:rPr>
        <w:t>complexity</w:t>
      </w:r>
      <w:r w:rsidR="00610FED">
        <w:rPr>
          <w:lang w:val="en-GB"/>
        </w:rPr>
        <w:t xml:space="preserve"> </w:t>
      </w:r>
      <w:r w:rsidRPr="000C57EA">
        <w:rPr>
          <w:lang w:val="en-GB"/>
        </w:rPr>
        <w:t xml:space="preserve">and a </w:t>
      </w:r>
      <w:r w:rsidR="007F703A" w:rsidRPr="000C57EA">
        <w:rPr>
          <w:lang w:val="en-GB"/>
        </w:rPr>
        <w:t>high</w:t>
      </w:r>
      <w:r w:rsidR="007F703A">
        <w:rPr>
          <w:lang w:val="en-GB"/>
        </w:rPr>
        <w:t>-</w:t>
      </w:r>
      <w:r w:rsidRPr="000C57EA">
        <w:rPr>
          <w:lang w:val="en-GB"/>
        </w:rPr>
        <w:t xml:space="preserve">complexity refinery. </w:t>
      </w:r>
      <w:r w:rsidR="001C3CF9">
        <w:rPr>
          <w:lang w:val="en-GB"/>
        </w:rPr>
        <w:t>The</w:t>
      </w:r>
      <w:r w:rsidRPr="000C57EA">
        <w:rPr>
          <w:lang w:val="en-GB"/>
        </w:rPr>
        <w:t xml:space="preserve"> study explores whether the level of complexity plays a significant role in the results</w:t>
      </w:r>
      <w:bookmarkEnd w:id="1"/>
      <w:r w:rsidRPr="000C57EA">
        <w:rPr>
          <w:lang w:val="en-GB"/>
        </w:rPr>
        <w:t xml:space="preserve">. </w:t>
      </w:r>
    </w:p>
    <w:p w14:paraId="0762DC6E" w14:textId="745441F8" w:rsidR="00F17B12" w:rsidRDefault="00767A88" w:rsidP="00695373">
      <w:pPr>
        <w:pStyle w:val="Els-body-text"/>
        <w:rPr>
          <w:lang w:val="en-GB"/>
        </w:rPr>
      </w:pPr>
      <w:bookmarkStart w:id="2" w:name="_Hlk150703211"/>
      <w:r>
        <w:rPr>
          <w:lang w:val="en-GB"/>
        </w:rPr>
        <w:t xml:space="preserve">Potential </w:t>
      </w:r>
      <w:r w:rsidR="007C0B5F" w:rsidRPr="000C57EA">
        <w:rPr>
          <w:lang w:val="en-GB"/>
        </w:rPr>
        <w:t xml:space="preserve">technologies </w:t>
      </w:r>
      <w:r>
        <w:rPr>
          <w:lang w:val="en-GB"/>
        </w:rPr>
        <w:t xml:space="preserve">were ranked </w:t>
      </w:r>
      <w:r w:rsidR="0003703D" w:rsidRPr="000C57EA">
        <w:rPr>
          <w:lang w:val="en-GB"/>
        </w:rPr>
        <w:t>using a multi-criteria decision analysis</w:t>
      </w:r>
      <w:r w:rsidR="007C0B5F" w:rsidRPr="000C57EA">
        <w:rPr>
          <w:lang w:val="en-GB"/>
        </w:rPr>
        <w:t>. The system analysis</w:t>
      </w:r>
      <w:r w:rsidR="00A55CE0">
        <w:rPr>
          <w:lang w:val="en-GB"/>
        </w:rPr>
        <w:t xml:space="preserve"> and optimization</w:t>
      </w:r>
      <w:r w:rsidR="007C0B5F" w:rsidRPr="000C57EA">
        <w:rPr>
          <w:lang w:val="en-GB"/>
        </w:rPr>
        <w:t xml:space="preserve"> </w:t>
      </w:r>
      <w:r w:rsidR="00A55CE0">
        <w:rPr>
          <w:lang w:val="en-GB"/>
        </w:rPr>
        <w:t>were</w:t>
      </w:r>
      <w:r w:rsidR="00A55CE0" w:rsidRPr="000C57EA">
        <w:rPr>
          <w:lang w:val="en-GB"/>
        </w:rPr>
        <w:t xml:space="preserve"> </w:t>
      </w:r>
      <w:r w:rsidR="007C0B5F" w:rsidRPr="000C57EA">
        <w:rPr>
          <w:lang w:val="en-GB"/>
        </w:rPr>
        <w:t>done in Linny-R, a mixed integer linear programming software package</w:t>
      </w:r>
      <w:r w:rsidR="001B4EA6">
        <w:rPr>
          <w:lang w:val="en-GB"/>
        </w:rPr>
        <w:t xml:space="preserve"> developed </w:t>
      </w:r>
      <w:r w:rsidR="001F25C5">
        <w:rPr>
          <w:lang w:val="en-GB"/>
        </w:rPr>
        <w:t>by</w:t>
      </w:r>
      <w:r w:rsidR="001B4EA6">
        <w:rPr>
          <w:lang w:val="en-GB"/>
        </w:rPr>
        <w:t xml:space="preserve"> TU</w:t>
      </w:r>
      <w:r w:rsidR="00785819">
        <w:rPr>
          <w:lang w:val="en-GB"/>
        </w:rPr>
        <w:t xml:space="preserve"> </w:t>
      </w:r>
      <w:r w:rsidR="001B4EA6">
        <w:rPr>
          <w:lang w:val="en-GB"/>
        </w:rPr>
        <w:t>Delft</w:t>
      </w:r>
      <w:r w:rsidR="007C0B5F" w:rsidRPr="000C57EA">
        <w:rPr>
          <w:lang w:val="en-GB"/>
        </w:rPr>
        <w:t xml:space="preserve">. </w:t>
      </w:r>
      <w:r w:rsidR="002F4050" w:rsidRPr="000C57EA">
        <w:rPr>
          <w:lang w:val="en-GB"/>
        </w:rPr>
        <w:t>In t</w:t>
      </w:r>
      <w:r w:rsidR="007C0B5F" w:rsidRPr="000C57EA">
        <w:rPr>
          <w:lang w:val="en-GB"/>
        </w:rPr>
        <w:t>he short-term (2030) scenario</w:t>
      </w:r>
      <w:r w:rsidR="0003703D" w:rsidRPr="000C57EA">
        <w:rPr>
          <w:lang w:val="en-GB"/>
        </w:rPr>
        <w:t>,</w:t>
      </w:r>
      <w:r w:rsidR="007C0B5F" w:rsidRPr="000C57EA">
        <w:rPr>
          <w:lang w:val="en-GB"/>
        </w:rPr>
        <w:t xml:space="preserve"> </w:t>
      </w:r>
      <w:r w:rsidR="009918ED" w:rsidRPr="000C57EA">
        <w:rPr>
          <w:lang w:val="en-GB"/>
        </w:rPr>
        <w:t xml:space="preserve">the selected technologies include </w:t>
      </w:r>
      <w:r w:rsidR="007C0B5F" w:rsidRPr="000C57EA">
        <w:rPr>
          <w:lang w:val="en-GB"/>
        </w:rPr>
        <w:t xml:space="preserve">low-carbon </w:t>
      </w:r>
      <w:r w:rsidR="00AE7E2C" w:rsidRPr="000C57EA">
        <w:rPr>
          <w:lang w:val="en-GB"/>
        </w:rPr>
        <w:t>H</w:t>
      </w:r>
      <w:r w:rsidR="00AE7E2C" w:rsidRPr="000C57EA">
        <w:rPr>
          <w:vertAlign w:val="subscript"/>
          <w:lang w:val="en-GB"/>
        </w:rPr>
        <w:t>2</w:t>
      </w:r>
      <w:r w:rsidR="007C0B5F" w:rsidRPr="000C57EA">
        <w:rPr>
          <w:lang w:val="en-GB"/>
        </w:rPr>
        <w:t xml:space="preserve"> produced from Steam Methane Reformer units with </w:t>
      </w:r>
      <w:r w:rsidR="00AE7E2C">
        <w:rPr>
          <w:lang w:val="en-GB"/>
        </w:rPr>
        <w:t>carbon c</w:t>
      </w:r>
      <w:r w:rsidR="007C0B5F" w:rsidRPr="000C57EA">
        <w:rPr>
          <w:lang w:val="en-GB"/>
        </w:rPr>
        <w:t>apture</w:t>
      </w:r>
      <w:r w:rsidR="00AE7E2C">
        <w:rPr>
          <w:lang w:val="en-GB"/>
        </w:rPr>
        <w:t xml:space="preserve"> and s</w:t>
      </w:r>
      <w:r w:rsidR="007C0B5F" w:rsidRPr="000C57EA">
        <w:rPr>
          <w:lang w:val="en-GB"/>
        </w:rPr>
        <w:t xml:space="preserve">torage and </w:t>
      </w:r>
      <w:r w:rsidR="00AE7E2C" w:rsidRPr="000C57EA">
        <w:rPr>
          <w:lang w:val="en-GB"/>
        </w:rPr>
        <w:t>H</w:t>
      </w:r>
      <w:r w:rsidR="00AE7E2C" w:rsidRPr="000C57EA">
        <w:rPr>
          <w:vertAlign w:val="subscript"/>
          <w:lang w:val="en-GB"/>
        </w:rPr>
        <w:t>2</w:t>
      </w:r>
      <w:r w:rsidR="007C0B5F" w:rsidRPr="000C57EA">
        <w:rPr>
          <w:lang w:val="en-GB"/>
        </w:rPr>
        <w:t xml:space="preserve"> produced from renewable electricity sources. The </w:t>
      </w:r>
      <w:r w:rsidR="00B472D2" w:rsidRPr="000C57EA">
        <w:rPr>
          <w:lang w:val="en-GB"/>
        </w:rPr>
        <w:t xml:space="preserve">medium and </w:t>
      </w:r>
      <w:r w:rsidR="007C0B5F" w:rsidRPr="000C57EA">
        <w:rPr>
          <w:lang w:val="en-GB"/>
        </w:rPr>
        <w:t xml:space="preserve">long-term (2050) scenario </w:t>
      </w:r>
      <w:r w:rsidR="00051059" w:rsidRPr="000C57EA">
        <w:rPr>
          <w:lang w:val="en-GB"/>
        </w:rPr>
        <w:t xml:space="preserve">also </w:t>
      </w:r>
      <w:r w:rsidR="007C0B5F" w:rsidRPr="000C57EA">
        <w:rPr>
          <w:lang w:val="en-GB"/>
        </w:rPr>
        <w:t xml:space="preserve">included biomass gasification, naphtha reforming, </w:t>
      </w:r>
      <w:r w:rsidR="009918ED" w:rsidRPr="000C57EA">
        <w:rPr>
          <w:lang w:val="en-GB"/>
        </w:rPr>
        <w:t xml:space="preserve">and </w:t>
      </w:r>
      <w:r w:rsidR="001C3CF9">
        <w:rPr>
          <w:lang w:val="en-GB"/>
        </w:rPr>
        <w:t>the cracking unit</w:t>
      </w:r>
      <w:r w:rsidR="00962283">
        <w:rPr>
          <w:lang w:val="en-GB"/>
        </w:rPr>
        <w:t xml:space="preserve">, all </w:t>
      </w:r>
      <w:r w:rsidR="00962283" w:rsidRPr="000C57EA">
        <w:rPr>
          <w:lang w:val="en-GB"/>
        </w:rPr>
        <w:t xml:space="preserve">with </w:t>
      </w:r>
      <w:r w:rsidR="00962283">
        <w:rPr>
          <w:lang w:val="en-GB"/>
        </w:rPr>
        <w:t>carbon capture and storage</w:t>
      </w:r>
      <w:r w:rsidR="00051059" w:rsidRPr="000C57EA">
        <w:rPr>
          <w:lang w:val="en-GB"/>
        </w:rPr>
        <w:t xml:space="preserve">. </w:t>
      </w:r>
      <w:r w:rsidR="007C0B5F" w:rsidRPr="000C57EA">
        <w:rPr>
          <w:lang w:val="en-GB"/>
        </w:rPr>
        <w:t xml:space="preserve">The refineries were </w:t>
      </w:r>
      <w:r w:rsidR="001C3CF9" w:rsidRPr="000C57EA">
        <w:rPr>
          <w:lang w:val="en-GB"/>
        </w:rPr>
        <w:t>modelled</w:t>
      </w:r>
      <w:r w:rsidR="007C0B5F" w:rsidRPr="000C57EA">
        <w:rPr>
          <w:lang w:val="en-GB"/>
        </w:rPr>
        <w:t xml:space="preserve"> </w:t>
      </w:r>
      <w:r w:rsidR="001C3CF9">
        <w:rPr>
          <w:lang w:val="en-GB"/>
        </w:rPr>
        <w:t>using</w:t>
      </w:r>
      <w:r w:rsidR="007C0B5F" w:rsidRPr="000C57EA">
        <w:rPr>
          <w:lang w:val="en-GB"/>
        </w:rPr>
        <w:t xml:space="preserve"> on-site </w:t>
      </w:r>
      <w:r>
        <w:rPr>
          <w:lang w:val="en-GB"/>
        </w:rPr>
        <w:t xml:space="preserve">company </w:t>
      </w:r>
      <w:r w:rsidR="007C0B5F" w:rsidRPr="000C57EA">
        <w:rPr>
          <w:lang w:val="en-GB"/>
        </w:rPr>
        <w:t>data.</w:t>
      </w:r>
      <w:r>
        <w:rPr>
          <w:lang w:val="en-GB"/>
        </w:rPr>
        <w:t xml:space="preserve"> </w:t>
      </w:r>
      <w:r w:rsidR="0003703D" w:rsidRPr="000C57EA">
        <w:rPr>
          <w:lang w:val="en-GB"/>
        </w:rPr>
        <w:t>The results indicate</w:t>
      </w:r>
      <w:r w:rsidR="007C0B5F" w:rsidRPr="000C57EA">
        <w:rPr>
          <w:lang w:val="en-GB"/>
        </w:rPr>
        <w:t xml:space="preserve"> that </w:t>
      </w:r>
      <w:r>
        <w:rPr>
          <w:lang w:val="en-GB"/>
        </w:rPr>
        <w:t>using</w:t>
      </w:r>
      <w:r w:rsidR="001C3CF9">
        <w:rPr>
          <w:lang w:val="en-GB"/>
        </w:rPr>
        <w:t xml:space="preserve"> l</w:t>
      </w:r>
      <w:r w:rsidR="007C0B5F" w:rsidRPr="000C57EA">
        <w:rPr>
          <w:lang w:val="en-GB"/>
        </w:rPr>
        <w:t>ow-carbon H</w:t>
      </w:r>
      <w:r w:rsidR="007C0B5F" w:rsidRPr="000C57EA">
        <w:rPr>
          <w:vertAlign w:val="subscript"/>
          <w:lang w:val="en-GB"/>
        </w:rPr>
        <w:t>2</w:t>
      </w:r>
      <w:r w:rsidR="007C0B5F" w:rsidRPr="000C57EA">
        <w:rPr>
          <w:lang w:val="en-GB"/>
        </w:rPr>
        <w:t xml:space="preserve"> </w:t>
      </w:r>
      <w:r w:rsidR="00ED4C02">
        <w:rPr>
          <w:lang w:val="en-GB"/>
        </w:rPr>
        <w:t xml:space="preserve">and carbon capture and storage to flue gases </w:t>
      </w:r>
      <w:r w:rsidR="00B878A4">
        <w:rPr>
          <w:lang w:val="en-GB"/>
        </w:rPr>
        <w:t>would allow to reach the net zero target</w:t>
      </w:r>
      <w:r w:rsidR="0003703D" w:rsidRPr="000C57EA">
        <w:rPr>
          <w:lang w:val="en-GB"/>
        </w:rPr>
        <w:t xml:space="preserve">. Furthermore, the results show </w:t>
      </w:r>
      <w:r w:rsidR="007C0B5F" w:rsidRPr="000C57EA">
        <w:rPr>
          <w:lang w:val="en-GB"/>
        </w:rPr>
        <w:t xml:space="preserve">that the level of complexity in </w:t>
      </w:r>
      <w:r w:rsidR="0003703D" w:rsidRPr="000C57EA">
        <w:rPr>
          <w:lang w:val="en-GB"/>
        </w:rPr>
        <w:t xml:space="preserve">a </w:t>
      </w:r>
      <w:r w:rsidR="007C0B5F" w:rsidRPr="000C57EA">
        <w:rPr>
          <w:lang w:val="en-GB"/>
        </w:rPr>
        <w:t>refiner</w:t>
      </w:r>
      <w:r w:rsidR="0003703D" w:rsidRPr="000C57EA">
        <w:rPr>
          <w:lang w:val="en-GB"/>
        </w:rPr>
        <w:t xml:space="preserve">y </w:t>
      </w:r>
      <w:r w:rsidR="007C0B5F" w:rsidRPr="000C57EA">
        <w:rPr>
          <w:lang w:val="en-GB"/>
        </w:rPr>
        <w:t>significantly impacts the decarbonization</w:t>
      </w:r>
      <w:r w:rsidR="006A2C4D" w:rsidRPr="000C57EA">
        <w:rPr>
          <w:lang w:val="en-GB"/>
        </w:rPr>
        <w:t xml:space="preserve"> deployment </w:t>
      </w:r>
      <w:r w:rsidR="00274ED0" w:rsidRPr="000C57EA">
        <w:rPr>
          <w:lang w:val="en-GB"/>
        </w:rPr>
        <w:t>pathways</w:t>
      </w:r>
      <w:r w:rsidR="006A2C4D" w:rsidRPr="000C57EA">
        <w:rPr>
          <w:lang w:val="en-GB"/>
        </w:rPr>
        <w:t>.</w:t>
      </w:r>
      <w:r w:rsidR="007C0B5F" w:rsidRPr="000C57EA">
        <w:rPr>
          <w:lang w:val="en-GB"/>
        </w:rPr>
        <w:t xml:space="preserve"> </w:t>
      </w:r>
      <w:r w:rsidR="0003703D" w:rsidRPr="000C57EA">
        <w:rPr>
          <w:lang w:val="en-GB"/>
        </w:rPr>
        <w:t xml:space="preserve">The </w:t>
      </w:r>
      <w:r w:rsidR="009A1FD4">
        <w:rPr>
          <w:lang w:val="en-GB"/>
        </w:rPr>
        <w:t>high-complexity</w:t>
      </w:r>
      <w:r w:rsidR="007C0B5F" w:rsidRPr="000C57EA">
        <w:rPr>
          <w:lang w:val="en-GB"/>
        </w:rPr>
        <w:t xml:space="preserve"> refineries benefit</w:t>
      </w:r>
      <w:r w:rsidR="0003703D" w:rsidRPr="000C57EA">
        <w:rPr>
          <w:lang w:val="en-GB"/>
        </w:rPr>
        <w:t>ed</w:t>
      </w:r>
      <w:r w:rsidR="007C0B5F" w:rsidRPr="000C57EA">
        <w:rPr>
          <w:lang w:val="en-GB"/>
        </w:rPr>
        <w:t xml:space="preserve"> from </w:t>
      </w:r>
      <w:r w:rsidR="0003703D" w:rsidRPr="000C57EA">
        <w:rPr>
          <w:lang w:val="en-GB"/>
        </w:rPr>
        <w:t xml:space="preserve">using </w:t>
      </w:r>
      <w:r w:rsidR="007C0B5F" w:rsidRPr="000C57EA">
        <w:rPr>
          <w:lang w:val="en-GB"/>
        </w:rPr>
        <w:t>low</w:t>
      </w:r>
      <w:r w:rsidR="009918ED" w:rsidRPr="000C57EA">
        <w:rPr>
          <w:lang w:val="en-GB"/>
        </w:rPr>
        <w:t>-</w:t>
      </w:r>
      <w:r w:rsidR="007C0B5F" w:rsidRPr="000C57EA">
        <w:rPr>
          <w:lang w:val="en-GB"/>
        </w:rPr>
        <w:t>carbon H</w:t>
      </w:r>
      <w:r w:rsidR="007C0B5F" w:rsidRPr="000C57EA">
        <w:rPr>
          <w:vertAlign w:val="subscript"/>
          <w:lang w:val="en-GB"/>
        </w:rPr>
        <w:t>2</w:t>
      </w:r>
      <w:r w:rsidR="007C0B5F" w:rsidRPr="000C57EA">
        <w:rPr>
          <w:lang w:val="en-GB"/>
        </w:rPr>
        <w:t xml:space="preserve"> as feedstock </w:t>
      </w:r>
      <w:r w:rsidR="0003703D" w:rsidRPr="000C57EA">
        <w:rPr>
          <w:lang w:val="en-GB"/>
        </w:rPr>
        <w:t>while the</w:t>
      </w:r>
      <w:r w:rsidR="007C0B5F" w:rsidRPr="000C57EA">
        <w:rPr>
          <w:lang w:val="en-GB"/>
        </w:rPr>
        <w:t xml:space="preserve"> </w:t>
      </w:r>
      <w:r w:rsidR="009A1FD4">
        <w:rPr>
          <w:lang w:val="en-GB"/>
        </w:rPr>
        <w:t>medium-complexity</w:t>
      </w:r>
      <w:r w:rsidR="007C0B5F" w:rsidRPr="000C57EA">
        <w:rPr>
          <w:lang w:val="en-GB"/>
        </w:rPr>
        <w:t xml:space="preserve"> refiner</w:t>
      </w:r>
      <w:r w:rsidR="0003703D" w:rsidRPr="000C57EA">
        <w:rPr>
          <w:lang w:val="en-GB"/>
        </w:rPr>
        <w:t>y</w:t>
      </w:r>
      <w:r w:rsidR="007C0B5F" w:rsidRPr="000C57EA">
        <w:rPr>
          <w:lang w:val="en-GB"/>
        </w:rPr>
        <w:t xml:space="preserve"> </w:t>
      </w:r>
      <w:r w:rsidR="0003703D" w:rsidRPr="000C57EA">
        <w:rPr>
          <w:lang w:val="en-GB"/>
        </w:rPr>
        <w:t>relied</w:t>
      </w:r>
      <w:r w:rsidR="007C0B5F" w:rsidRPr="000C57EA">
        <w:rPr>
          <w:lang w:val="en-GB"/>
        </w:rPr>
        <w:t xml:space="preserve"> on </w:t>
      </w:r>
      <w:r w:rsidR="0003703D" w:rsidRPr="000C57EA">
        <w:rPr>
          <w:lang w:val="en-GB"/>
        </w:rPr>
        <w:t xml:space="preserve">a combination of </w:t>
      </w:r>
      <w:r w:rsidR="00AE7E2C">
        <w:rPr>
          <w:lang w:val="en-GB"/>
        </w:rPr>
        <w:t xml:space="preserve">carbon </w:t>
      </w:r>
      <w:r w:rsidR="009918ED" w:rsidRPr="000C57EA">
        <w:rPr>
          <w:lang w:val="en-GB"/>
        </w:rPr>
        <w:t xml:space="preserve">capture </w:t>
      </w:r>
      <w:r w:rsidR="0003703D" w:rsidRPr="000C57EA">
        <w:rPr>
          <w:lang w:val="en-GB"/>
        </w:rPr>
        <w:t xml:space="preserve">and </w:t>
      </w:r>
      <w:r w:rsidR="00274ED0" w:rsidRPr="000C57EA">
        <w:rPr>
          <w:lang w:val="en-GB"/>
        </w:rPr>
        <w:t>low-carbon</w:t>
      </w:r>
      <w:r w:rsidR="009918ED" w:rsidRPr="000C57EA">
        <w:rPr>
          <w:lang w:val="en-GB"/>
        </w:rPr>
        <w:t xml:space="preserve"> </w:t>
      </w:r>
      <w:r w:rsidR="00AE7E2C" w:rsidRPr="000C57EA">
        <w:rPr>
          <w:lang w:val="en-GB"/>
        </w:rPr>
        <w:t>H</w:t>
      </w:r>
      <w:r w:rsidR="00AE7E2C" w:rsidRPr="000C57EA">
        <w:rPr>
          <w:vertAlign w:val="subscript"/>
          <w:lang w:val="en-GB"/>
        </w:rPr>
        <w:t>2</w:t>
      </w:r>
      <w:r w:rsidR="007C0B5F" w:rsidRPr="000C57EA">
        <w:rPr>
          <w:lang w:val="en-GB"/>
        </w:rPr>
        <w:t xml:space="preserve"> as an alternative fuel.</w:t>
      </w:r>
      <w:r w:rsidR="003A3EB5" w:rsidRPr="000C57EA">
        <w:rPr>
          <w:lang w:val="en-GB"/>
        </w:rPr>
        <w:t xml:space="preserve"> </w:t>
      </w:r>
      <w:r w:rsidR="001C3CF9">
        <w:rPr>
          <w:lang w:val="en-GB"/>
        </w:rPr>
        <w:t>T</w:t>
      </w:r>
      <w:r w:rsidR="0003703D" w:rsidRPr="000C57EA">
        <w:rPr>
          <w:lang w:val="en-GB"/>
        </w:rPr>
        <w:t xml:space="preserve">his </w:t>
      </w:r>
      <w:r w:rsidR="00F17B12" w:rsidRPr="000C57EA">
        <w:rPr>
          <w:lang w:val="en-GB"/>
        </w:rPr>
        <w:t>research highlights the potential to achieve substantial CO</w:t>
      </w:r>
      <w:r w:rsidR="00F17B12" w:rsidRPr="000C57EA">
        <w:rPr>
          <w:vertAlign w:val="subscript"/>
          <w:lang w:val="en-GB"/>
        </w:rPr>
        <w:t xml:space="preserve">2 </w:t>
      </w:r>
      <w:r w:rsidR="00F17B12" w:rsidRPr="000C57EA">
        <w:rPr>
          <w:lang w:val="en-GB"/>
        </w:rPr>
        <w:t>emissions reductions</w:t>
      </w:r>
      <w:r w:rsidR="00FD0F41" w:rsidRPr="000C57EA">
        <w:rPr>
          <w:lang w:val="en-GB"/>
        </w:rPr>
        <w:t xml:space="preserve"> with less impact </w:t>
      </w:r>
      <w:r w:rsidR="002F4050" w:rsidRPr="000C57EA">
        <w:rPr>
          <w:lang w:val="en-GB"/>
        </w:rPr>
        <w:t>o</w:t>
      </w:r>
      <w:r w:rsidR="00FD0F41" w:rsidRPr="000C57EA">
        <w:rPr>
          <w:lang w:val="en-GB"/>
        </w:rPr>
        <w:t xml:space="preserve">n the total operational cost by using the amount of excess refinery gas generated when </w:t>
      </w:r>
      <w:r w:rsidR="00AE7E2C" w:rsidRPr="000C57EA">
        <w:rPr>
          <w:lang w:val="en-GB"/>
        </w:rPr>
        <w:t>H</w:t>
      </w:r>
      <w:r w:rsidR="00AE7E2C" w:rsidRPr="000C57EA">
        <w:rPr>
          <w:vertAlign w:val="subscript"/>
          <w:lang w:val="en-GB"/>
        </w:rPr>
        <w:t>2</w:t>
      </w:r>
      <w:r w:rsidR="00FD0F41" w:rsidRPr="000C57EA">
        <w:rPr>
          <w:lang w:val="en-GB"/>
        </w:rPr>
        <w:t xml:space="preserve"> is used as fuel in boiler</w:t>
      </w:r>
      <w:r w:rsidR="0003703D" w:rsidRPr="000C57EA">
        <w:rPr>
          <w:lang w:val="en-GB"/>
        </w:rPr>
        <w:t>s</w:t>
      </w:r>
      <w:r w:rsidR="00FD0F41" w:rsidRPr="000C57EA">
        <w:rPr>
          <w:lang w:val="en-GB"/>
        </w:rPr>
        <w:t xml:space="preserve"> and process furnaces. </w:t>
      </w:r>
      <w:r w:rsidR="001C3CF9">
        <w:rPr>
          <w:lang w:val="en-GB"/>
        </w:rPr>
        <w:t>A</w:t>
      </w:r>
      <w:r w:rsidR="00F17B12" w:rsidRPr="000C57EA">
        <w:rPr>
          <w:lang w:val="en-GB"/>
        </w:rPr>
        <w:t xml:space="preserve"> significant challenge </w:t>
      </w:r>
      <w:r w:rsidR="003A3EB5" w:rsidRPr="000C57EA">
        <w:rPr>
          <w:lang w:val="en-GB"/>
        </w:rPr>
        <w:t>remains</w:t>
      </w:r>
      <w:r w:rsidR="0003703D" w:rsidRPr="000C57EA">
        <w:rPr>
          <w:lang w:val="en-GB"/>
        </w:rPr>
        <w:t xml:space="preserve"> </w:t>
      </w:r>
      <w:r w:rsidR="00F17B12" w:rsidRPr="000C57EA">
        <w:rPr>
          <w:lang w:val="en-GB"/>
        </w:rPr>
        <w:t>in identifying</w:t>
      </w:r>
      <w:r w:rsidR="00F17B12" w:rsidRPr="00FD0F41">
        <w:rPr>
          <w:lang w:val="en-GB"/>
        </w:rPr>
        <w:t xml:space="preserve"> suitable applications for surplus refinery fuel gas beyond its conventional use in combustion within boilers and furnaces.</w:t>
      </w:r>
    </w:p>
    <w:bookmarkEnd w:id="2"/>
    <w:p w14:paraId="1C7F8BCD" w14:textId="77777777" w:rsidR="00E515AA" w:rsidRDefault="00E515AA" w:rsidP="00E515AA">
      <w:pPr>
        <w:pStyle w:val="Els-body-text"/>
        <w:rPr>
          <w:b/>
          <w:bCs/>
          <w:lang w:val="en-GB"/>
        </w:rPr>
      </w:pPr>
    </w:p>
    <w:p w14:paraId="144DE687" w14:textId="1638CF90" w:rsidR="008D2649" w:rsidRDefault="008D2649" w:rsidP="00E515AA">
      <w:pPr>
        <w:pStyle w:val="Els-body-text"/>
        <w:rPr>
          <w:lang w:val="en-GB"/>
        </w:rPr>
      </w:pPr>
      <w:r>
        <w:rPr>
          <w:b/>
          <w:bCs/>
          <w:lang w:val="en-GB"/>
        </w:rPr>
        <w:t>Keywords</w:t>
      </w:r>
      <w:r>
        <w:rPr>
          <w:lang w:val="en-GB"/>
        </w:rPr>
        <w:t xml:space="preserve">: </w:t>
      </w:r>
      <w:r w:rsidR="007C0B5F" w:rsidRPr="007C0B5F">
        <w:rPr>
          <w:lang w:val="en-GB"/>
        </w:rPr>
        <w:t>Carbon capture</w:t>
      </w:r>
      <w:r w:rsidR="00AE7E2C">
        <w:rPr>
          <w:lang w:val="en-GB"/>
        </w:rPr>
        <w:t xml:space="preserve"> and storage</w:t>
      </w:r>
      <w:r w:rsidR="007C0B5F" w:rsidRPr="007C0B5F">
        <w:rPr>
          <w:lang w:val="en-GB"/>
        </w:rPr>
        <w:t>, low-carbon hydrogen, oil refinery decarboni</w:t>
      </w:r>
      <w:r w:rsidR="002F4050">
        <w:rPr>
          <w:lang w:val="en-GB"/>
        </w:rPr>
        <w:t>z</w:t>
      </w:r>
      <w:r w:rsidR="007C0B5F" w:rsidRPr="007C0B5F">
        <w:rPr>
          <w:lang w:val="en-GB"/>
        </w:rPr>
        <w:t>ation, multi-criteria decision analysis, and system</w:t>
      </w:r>
      <w:r w:rsidR="002F4050">
        <w:rPr>
          <w:lang w:val="en-GB"/>
        </w:rPr>
        <w:t xml:space="preserve"> optimization</w:t>
      </w:r>
    </w:p>
    <w:p w14:paraId="465E178D" w14:textId="77777777" w:rsidR="00E515AA" w:rsidRDefault="00E515AA" w:rsidP="00695373">
      <w:pPr>
        <w:pStyle w:val="Els-body-text"/>
        <w:rPr>
          <w:lang w:val="en-GB"/>
        </w:rPr>
      </w:pPr>
    </w:p>
    <w:p w14:paraId="144DE689" w14:textId="44C8EBD5" w:rsidR="008D2649" w:rsidRDefault="001E4305" w:rsidP="00695373">
      <w:pPr>
        <w:pStyle w:val="Els-1storder-head"/>
        <w:keepNext w:val="0"/>
        <w:spacing w:before="0" w:after="0"/>
      </w:pPr>
      <w:r>
        <w:t>Introduction</w:t>
      </w:r>
    </w:p>
    <w:p w14:paraId="31B85635" w14:textId="7FD03BF0" w:rsidR="007B2818" w:rsidRDefault="007B2818" w:rsidP="000B70B4">
      <w:pPr>
        <w:pStyle w:val="Els-body-text"/>
      </w:pPr>
      <w:r w:rsidRPr="007B2818">
        <w:t>The global commitment to reduce greenhouse gas emissions is driving a shift in our energy preference, moving away from fossil fuels towards cleaner energy sources with lower carbon footprints. This shift is expected to decrease the demand for fossil fuels in transportation. However</w:t>
      </w:r>
      <w:r w:rsidR="00F50DD5" w:rsidRPr="00F50DD5">
        <w:t xml:space="preserve">, </w:t>
      </w:r>
      <w:r>
        <w:t>r</w:t>
      </w:r>
      <w:r w:rsidRPr="007B2818">
        <w:t>efineries play a crucial role beyond fuel supply; they serve as a source of raw materials for manufacturing base chemicals</w:t>
      </w:r>
      <w:r>
        <w:t xml:space="preserve">, </w:t>
      </w:r>
      <w:proofErr w:type="spellStart"/>
      <w:r w:rsidR="00B878A4">
        <w:t>speciality</w:t>
      </w:r>
      <w:proofErr w:type="spellEnd"/>
      <w:r w:rsidR="00B878A4">
        <w:t xml:space="preserve"> </w:t>
      </w:r>
      <w:r>
        <w:t>chemicals,</w:t>
      </w:r>
      <w:r w:rsidRPr="007B2818">
        <w:t xml:space="preserve"> and fuels </w:t>
      </w:r>
      <w:r w:rsidR="00236075">
        <w:t xml:space="preserve">for </w:t>
      </w:r>
      <w:r w:rsidR="00B878A4">
        <w:t xml:space="preserve">the </w:t>
      </w:r>
      <w:r w:rsidRPr="007B2818">
        <w:t xml:space="preserve">shipping and aviation </w:t>
      </w:r>
      <w:r w:rsidR="00236075">
        <w:t>sectors</w:t>
      </w:r>
      <w:r w:rsidR="00F50DD5">
        <w:t xml:space="preserve">. </w:t>
      </w:r>
      <w:r w:rsidR="00F50DD5" w:rsidRPr="00F50DD5">
        <w:t xml:space="preserve">Due to the </w:t>
      </w:r>
      <w:r w:rsidR="00236075" w:rsidRPr="00236075">
        <w:t>significance of the</w:t>
      </w:r>
      <w:r w:rsidR="00B878A4">
        <w:t>se</w:t>
      </w:r>
      <w:r w:rsidR="00236075" w:rsidRPr="00236075">
        <w:t xml:space="preserve"> </w:t>
      </w:r>
      <w:r w:rsidR="00236075">
        <w:t>products</w:t>
      </w:r>
      <w:r w:rsidR="00236075" w:rsidRPr="00236075">
        <w:t>, refineries will continue to play a pivotal role in the foreseeable future. Consequently, it</w:t>
      </w:r>
      <w:r w:rsidR="00B878A4">
        <w:t xml:space="preserve"> i</w:t>
      </w:r>
      <w:r w:rsidR="00236075" w:rsidRPr="00236075">
        <w:t xml:space="preserve">s </w:t>
      </w:r>
      <w:r w:rsidR="00236075" w:rsidRPr="00236075">
        <w:lastRenderedPageBreak/>
        <w:t xml:space="preserve">crucial to evaluate and </w:t>
      </w:r>
      <w:r w:rsidR="00236075">
        <w:t>d</w:t>
      </w:r>
      <w:r w:rsidR="00236075" w:rsidRPr="00236075">
        <w:t xml:space="preserve">evelop a strategy </w:t>
      </w:r>
      <w:r w:rsidR="00B878A4">
        <w:t>for</w:t>
      </w:r>
      <w:r w:rsidR="00236075" w:rsidRPr="00236075">
        <w:t xml:space="preserve"> decarbonization </w:t>
      </w:r>
      <w:commentRangeStart w:id="3"/>
      <w:r w:rsidR="00236075">
        <w:t xml:space="preserve"> </w:t>
      </w:r>
      <w:commentRangeEnd w:id="3"/>
      <w:r w:rsidR="00B878A4">
        <w:rPr>
          <w:rStyle w:val="Rimandocommento"/>
          <w:lang w:val="en-GB"/>
        </w:rPr>
        <w:commentReference w:id="3"/>
      </w:r>
      <w:r w:rsidR="00F50DD5">
        <w:fldChar w:fldCharType="begin" w:fldLock="1"/>
      </w:r>
      <w:r w:rsidR="007C0F45">
        <w:instrText>ADDIN CSL_CITATION {"citationItems":[{"id":"ITEM-1","itemData":{"author":[{"dropping-particle":"","family":"Oliveira","given":"C","non-dropping-particle":"","parse-names":false,"suffix":""},{"dropping-particle":"","family":"Schure","given":"K M","non-dropping-particle":"","parse-names":false,"suffix":""}],"id":"ITEM-1","issue":"December","issued":{"date-parts":[["2020"]]},"title":"DECARBONISATION OPTIONS FOR THE DUTCH REFINERY SECTOR","type":"article-journal"},"uris":["http://www.mendeley.com/documents/?uuid=f3736ae3-6c9d-4024-9546-01ce5ba17886"]}],"mendeley":{"formattedCitation":"(Oliveira &amp; Schure, 2020)","plainTextFormattedCitation":"(Oliveira &amp; Schure, 2020)","previouslyFormattedCitation":"(Oliveira &amp; Schure, 2020)"},"properties":{"noteIndex":0},"schema":"https://github.com/citation-style-language/schema/raw/master/csl-citation.json"}</w:instrText>
      </w:r>
      <w:r w:rsidR="00F50DD5">
        <w:fldChar w:fldCharType="separate"/>
      </w:r>
      <w:r w:rsidR="00F50DD5" w:rsidRPr="00F50DD5">
        <w:rPr>
          <w:noProof/>
        </w:rPr>
        <w:t>(Oliveira &amp; Schure, 2020)</w:t>
      </w:r>
      <w:r w:rsidR="00F50DD5">
        <w:fldChar w:fldCharType="end"/>
      </w:r>
      <w:r w:rsidR="00236075">
        <w:t>.</w:t>
      </w:r>
    </w:p>
    <w:p w14:paraId="1092571B" w14:textId="2E0D214B" w:rsidR="009B7D28" w:rsidRDefault="003A3EB5" w:rsidP="000B70B4">
      <w:pPr>
        <w:pStyle w:val="Els-body-text"/>
      </w:pPr>
      <w:r>
        <w:t xml:space="preserve">In 2018, Ecopetrol was responsible for approximately 4% of </w:t>
      </w:r>
      <w:r w:rsidR="00B878A4">
        <w:t xml:space="preserve">the </w:t>
      </w:r>
      <w:r>
        <w:t>Colombia</w:t>
      </w:r>
      <w:r w:rsidR="00767A88">
        <w:t>n</w:t>
      </w:r>
      <w:r>
        <w:t xml:space="preserve"> GHG emissions</w:t>
      </w:r>
      <w:r w:rsidR="00756732" w:rsidRPr="00756732">
        <w:t xml:space="preserve"> </w:t>
      </w:r>
      <w:r w:rsidR="00D1377F">
        <w:fldChar w:fldCharType="begin" w:fldLock="1"/>
      </w:r>
      <w:r w:rsidR="00ED4C02">
        <w:instrText>ADDIN CSL_CITATION {"citationItems":[{"id":"ITEM-1","itemData":{"author":[{"dropping-particle":"","family":"IDEAM, Fundación Natura, PNUD, MADS, DNP","given":"CANCILLERÍA","non-dropping-particle":"","parse-names":false,"suffix":""}],"id":"ITEM-1","issued":{"date-parts":[["2022"]]},"title":"INFORME DEL INVENTARIO NACIONAL DE GASES EFECTO INVERNADERO 1990-2018 Y CARBONO NEGRO 2010-2018 DE COLOMBIA .","type":"report"},"uris":["http://www.mendeley.com/documents/?uuid=08bb27b2-8bdd-4297-87d1-2d473780707f"]}],"mendeley":{"formattedCitation":"(IDEAM, Fundación Natura, PNUD, MADS, DNP, 2022)","manualFormatting":"(IDEAM et al, 2022)","plainTextFormattedCitation":"(IDEAM, Fundación Natura, PNUD, MADS, DNP, 2022)","previouslyFormattedCitation":"(IDEAM, Fundación Natura, PNUD, MADS, DNP, 2022)"},"properties":{"noteIndex":0},"schema":"https://github.com/citation-style-language/schema/raw/master/csl-citation.json"}</w:instrText>
      </w:r>
      <w:r w:rsidR="00D1377F">
        <w:fldChar w:fldCharType="separate"/>
      </w:r>
      <w:r w:rsidR="00D1377F" w:rsidRPr="00D1377F">
        <w:rPr>
          <w:noProof/>
        </w:rPr>
        <w:t>(IDEAM</w:t>
      </w:r>
      <w:r w:rsidR="00ED4C02">
        <w:rPr>
          <w:noProof/>
        </w:rPr>
        <w:t xml:space="preserve"> et al</w:t>
      </w:r>
      <w:r w:rsidR="00D1377F" w:rsidRPr="00D1377F">
        <w:rPr>
          <w:noProof/>
        </w:rPr>
        <w:t>, 2022)</w:t>
      </w:r>
      <w:r w:rsidR="00D1377F">
        <w:fldChar w:fldCharType="end"/>
      </w:r>
      <w:r w:rsidR="00E979EB">
        <w:t>,</w:t>
      </w:r>
      <w:r>
        <w:t xml:space="preserve"> and </w:t>
      </w:r>
      <w:r w:rsidR="00CA0F24">
        <w:t xml:space="preserve">it </w:t>
      </w:r>
      <w:r w:rsidR="00B878A4">
        <w:t xml:space="preserve">has </w:t>
      </w:r>
      <w:r w:rsidR="00756732" w:rsidRPr="00756732">
        <w:t>committed to reducing its GHG emissions to 75</w:t>
      </w:r>
      <w:r w:rsidR="005924F0">
        <w:t xml:space="preserve"> </w:t>
      </w:r>
      <w:r w:rsidR="00756732" w:rsidRPr="00756732">
        <w:t xml:space="preserve">% of the level emitted in 2019 </w:t>
      </w:r>
      <w:r w:rsidR="00756732" w:rsidRPr="00D50821">
        <w:rPr>
          <w:b/>
          <w:bCs/>
        </w:rPr>
        <w:t>by 2030</w:t>
      </w:r>
      <w:r w:rsidR="00756732" w:rsidRPr="00756732">
        <w:t xml:space="preserve"> (5.9 Mt CO</w:t>
      </w:r>
      <w:r w:rsidR="00756732" w:rsidRPr="00F50997">
        <w:rPr>
          <w:vertAlign w:val="subscript"/>
        </w:rPr>
        <w:t>2eq</w:t>
      </w:r>
      <w:r w:rsidR="00756732" w:rsidRPr="00A02D35">
        <w:t>/y</w:t>
      </w:r>
      <w:r w:rsidR="00756732" w:rsidRPr="00756732">
        <w:t xml:space="preserve">), </w:t>
      </w:r>
      <w:r w:rsidR="00756732" w:rsidRPr="00B878A4">
        <w:t xml:space="preserve">corresponding </w:t>
      </w:r>
      <w:r w:rsidR="00756732" w:rsidRPr="00D50821">
        <w:rPr>
          <w:b/>
          <w:bCs/>
        </w:rPr>
        <w:t>to scopes 1 and 2</w:t>
      </w:r>
      <w:r w:rsidR="00756732" w:rsidRPr="00B878A4">
        <w:t>.</w:t>
      </w:r>
      <w:r w:rsidR="00756732" w:rsidRPr="00756732">
        <w:t xml:space="preserve"> In addition, the long-term strategy of Ecopetrol aims to achieve </w:t>
      </w:r>
      <w:r w:rsidR="00756732" w:rsidRPr="00D50821">
        <w:rPr>
          <w:b/>
          <w:bCs/>
        </w:rPr>
        <w:t>net-zero carbon emissions for scopes 1 and 2 by 2050</w:t>
      </w:r>
      <w:r w:rsidR="000B70B4">
        <w:t xml:space="preserve"> (</w:t>
      </w:r>
      <w:r w:rsidR="00B878A4">
        <w:t xml:space="preserve">note that the target does not include scope 3 emissions </w:t>
      </w:r>
      <w:proofErr w:type="spellStart"/>
      <w:r w:rsidR="000B70B4">
        <w:t>i.e.,l</w:t>
      </w:r>
      <w:proofErr w:type="spellEnd"/>
      <w:r w:rsidR="000B70B4">
        <w:t xml:space="preserve"> indirect emissions not included in </w:t>
      </w:r>
      <w:r w:rsidR="001B4EA6">
        <w:t>scope</w:t>
      </w:r>
      <w:r w:rsidR="000B70B4">
        <w:t xml:space="preserve"> 2 that occur in the value chain of the reporting company, including both upstream and downstream emissions)</w:t>
      </w:r>
      <w:r w:rsidR="00B878A4">
        <w:t>.</w:t>
      </w:r>
      <w:r w:rsidR="00756732" w:rsidRPr="00756732">
        <w:t xml:space="preserve"> Nowadays, the downstream sector is responsible for 55</w:t>
      </w:r>
      <w:r w:rsidR="005924F0">
        <w:t xml:space="preserve"> </w:t>
      </w:r>
      <w:r w:rsidR="00756732" w:rsidRPr="00756732">
        <w:t xml:space="preserve">% of the company's GHG emissions under scopes 1 and 2, with the refineries contributing </w:t>
      </w:r>
      <w:r w:rsidR="00051059">
        <w:t xml:space="preserve">to </w:t>
      </w:r>
      <w:r w:rsidR="00756732" w:rsidRPr="00756732">
        <w:t>98</w:t>
      </w:r>
      <w:r w:rsidR="005924F0">
        <w:t xml:space="preserve"> </w:t>
      </w:r>
      <w:r w:rsidR="00756732" w:rsidRPr="00756732">
        <w:t xml:space="preserve">% of those emissions </w:t>
      </w:r>
      <w:r w:rsidR="00F50997">
        <w:fldChar w:fldCharType="begin" w:fldLock="1"/>
      </w:r>
      <w:r w:rsidR="00F50997">
        <w:instrText>ADDIN CSL_CITATION {"citationItems":[{"id":"ITEM-1","itemData":{"author":[{"dropping-particle":"","family":"Canova","given":"Walter (ecopetrol)","non-dropping-particle":"","parse-names":false,"suffix":""}],"container-title":"LARTC The Latin American Refining Technology Conference","id":"ITEM-1","issued":{"date-parts":[["2021"]]},"page":"18","title":"Decarbonization Strategy of Ecopetrol Downstream sector","type":"paper-conference"},"uris":["http://www.mendeley.com/documents/?uuid=bc631eb8-cdc0-44ef-ac99-04949d63e0fa"]}],"mendeley":{"formattedCitation":"(Canova, 2021)","plainTextFormattedCitation":"(Canova, 2021)","previouslyFormattedCitation":"(Canova, 2021)"},"properties":{"noteIndex":0},"schema":"https://github.com/citation-style-language/schema/raw/master/csl-citation.json"}</w:instrText>
      </w:r>
      <w:r w:rsidR="00F50997">
        <w:fldChar w:fldCharType="separate"/>
      </w:r>
      <w:r w:rsidR="00F50997" w:rsidRPr="00F50997">
        <w:rPr>
          <w:noProof/>
        </w:rPr>
        <w:t>(Canova, 2021)</w:t>
      </w:r>
      <w:r w:rsidR="00F50997">
        <w:fldChar w:fldCharType="end"/>
      </w:r>
      <w:r w:rsidR="00756732">
        <w:t>.</w:t>
      </w:r>
      <w:r w:rsidR="00756732" w:rsidRPr="00756732">
        <w:t xml:space="preserve"> </w:t>
      </w:r>
      <w:r w:rsidRPr="00CA3380">
        <w:t>This study focuses on a case study based on two Colombian oil refineries</w:t>
      </w:r>
      <w:r w:rsidR="00B878A4">
        <w:t xml:space="preserve"> that have different levels of complexity</w:t>
      </w:r>
      <w:r w:rsidR="006F00E6">
        <w:t>.</w:t>
      </w:r>
      <w:r w:rsidRPr="00CA3380">
        <w:t xml:space="preserve"> </w:t>
      </w:r>
      <w:r w:rsidR="00051059">
        <w:t xml:space="preserve"> </w:t>
      </w:r>
      <w:r w:rsidR="00194937">
        <w:t xml:space="preserve">An overview of </w:t>
      </w:r>
      <w:r w:rsidR="00F15B21">
        <w:t xml:space="preserve">the </w:t>
      </w:r>
      <w:r w:rsidR="00194937">
        <w:t>key</w:t>
      </w:r>
      <w:r w:rsidRPr="00CA3380">
        <w:t xml:space="preserve"> characteristics of </w:t>
      </w:r>
      <w:r w:rsidR="00194937">
        <w:t>both</w:t>
      </w:r>
      <w:r w:rsidR="00194937" w:rsidRPr="00CA3380">
        <w:t xml:space="preserve"> </w:t>
      </w:r>
      <w:r w:rsidRPr="00CA3380">
        <w:t xml:space="preserve">refineries </w:t>
      </w:r>
      <w:r w:rsidR="00194937">
        <w:t xml:space="preserve">is </w:t>
      </w:r>
      <w:r w:rsidRPr="00CA3380">
        <w:t>shown in Table 1</w:t>
      </w:r>
      <w:r>
        <w:t xml:space="preserve">. </w:t>
      </w:r>
      <w:r w:rsidR="00194937">
        <w:t xml:space="preserve">Note that </w:t>
      </w:r>
      <w:r w:rsidR="00AE7E2C" w:rsidRPr="000C57EA">
        <w:rPr>
          <w:lang w:val="en-GB"/>
        </w:rPr>
        <w:t>H</w:t>
      </w:r>
      <w:r w:rsidR="00AE7E2C" w:rsidRPr="000C57EA">
        <w:rPr>
          <w:vertAlign w:val="subscript"/>
          <w:lang w:val="en-GB"/>
        </w:rPr>
        <w:t>2</w:t>
      </w:r>
      <w:r w:rsidR="001E4305" w:rsidRPr="001E4305">
        <w:t xml:space="preserve"> </w:t>
      </w:r>
      <w:r w:rsidR="00194937">
        <w:t xml:space="preserve">use </w:t>
      </w:r>
      <w:r w:rsidR="001E4305" w:rsidRPr="001E4305">
        <w:t xml:space="preserve">differs between </w:t>
      </w:r>
      <w:r w:rsidR="00194937">
        <w:t xml:space="preserve">the </w:t>
      </w:r>
      <w:r w:rsidR="001E4305" w:rsidRPr="001E4305">
        <w:t>refineries</w:t>
      </w:r>
      <w:r w:rsidR="00194937">
        <w:t>. I</w:t>
      </w:r>
      <w:r w:rsidR="001E4305" w:rsidRPr="001E4305">
        <w:t xml:space="preserve">n the </w:t>
      </w:r>
      <w:r w:rsidR="00F15B21">
        <w:t xml:space="preserve">high-complexity </w:t>
      </w:r>
      <w:r w:rsidR="001E4305" w:rsidRPr="001E4305">
        <w:t xml:space="preserve">configuration refinery, </w:t>
      </w:r>
      <w:r>
        <w:t>H</w:t>
      </w:r>
      <w:r w:rsidRPr="00610FED">
        <w:rPr>
          <w:vertAlign w:val="subscript"/>
        </w:rPr>
        <w:t>2</w:t>
      </w:r>
      <w:r w:rsidRPr="001E4305">
        <w:t xml:space="preserve"> </w:t>
      </w:r>
      <w:r w:rsidR="001E4305" w:rsidRPr="001E4305">
        <w:t>production contributes 33% of the emissions, whereas</w:t>
      </w:r>
      <w:r w:rsidR="002F4050">
        <w:t>,</w:t>
      </w:r>
      <w:r w:rsidR="001E4305" w:rsidRPr="001E4305">
        <w:t xml:space="preserve"> in the </w:t>
      </w:r>
      <w:r w:rsidR="00F15B21">
        <w:t xml:space="preserve">medium-complexity </w:t>
      </w:r>
      <w:r w:rsidR="001E4305" w:rsidRPr="001E4305">
        <w:t xml:space="preserve">configuration refinery, </w:t>
      </w:r>
      <w:r>
        <w:t xml:space="preserve">it </w:t>
      </w:r>
      <w:r w:rsidR="001E4305" w:rsidRPr="001E4305">
        <w:t>corresponds to 7</w:t>
      </w:r>
      <w:r w:rsidR="005924F0">
        <w:t xml:space="preserve"> </w:t>
      </w:r>
      <w:r w:rsidR="001E4305" w:rsidRPr="001E4305">
        <w:t>% of total CO</w:t>
      </w:r>
      <w:r w:rsidR="001E4305" w:rsidRPr="00F50997">
        <w:rPr>
          <w:vertAlign w:val="subscript"/>
        </w:rPr>
        <w:t>2</w:t>
      </w:r>
      <w:r w:rsidR="001E4305" w:rsidRPr="001E4305">
        <w:t xml:space="preserve"> emissions</w:t>
      </w:r>
      <w:r w:rsidR="00F15B21">
        <w:t xml:space="preserve">. This study aims to a) assess the potential </w:t>
      </w:r>
      <w:r w:rsidR="00F15B21" w:rsidRPr="006E64C8">
        <w:t xml:space="preserve">for decarbonization </w:t>
      </w:r>
      <w:r w:rsidR="00F15B21">
        <w:t xml:space="preserve">in each refinery </w:t>
      </w:r>
      <w:r w:rsidR="001C557A">
        <w:t>by</w:t>
      </w:r>
      <w:r w:rsidR="001C557A" w:rsidRPr="006E64C8">
        <w:t xml:space="preserve"> </w:t>
      </w:r>
      <w:r w:rsidR="00F15B21" w:rsidRPr="006E64C8">
        <w:t>using</w:t>
      </w:r>
      <w:r w:rsidR="00F15B21">
        <w:t xml:space="preserve"> </w:t>
      </w:r>
      <w:r w:rsidR="00F15B21" w:rsidRPr="006E64C8">
        <w:t xml:space="preserve">low carbon </w:t>
      </w:r>
      <w:r w:rsidR="00F15B21">
        <w:t>H</w:t>
      </w:r>
      <w:r w:rsidR="00F15B21" w:rsidRPr="003E2650">
        <w:rPr>
          <w:vertAlign w:val="subscript"/>
        </w:rPr>
        <w:t>2</w:t>
      </w:r>
      <w:r w:rsidR="00F15B21" w:rsidRPr="006E64C8">
        <w:t xml:space="preserve"> as a feedstock and as a fuel</w:t>
      </w:r>
      <w:r w:rsidR="00F15B21">
        <w:t>, and by capturing CO</w:t>
      </w:r>
      <w:r w:rsidR="00F15B21" w:rsidRPr="007D6D82">
        <w:rPr>
          <w:vertAlign w:val="subscript"/>
        </w:rPr>
        <w:t>2</w:t>
      </w:r>
      <w:r w:rsidR="00F15B21">
        <w:t xml:space="preserve"> from flue gas streams and b) evaluate whether the level of complexity, which is often overlooked in this type of assessment, affects the results</w:t>
      </w:r>
      <w:r w:rsidR="001E4305" w:rsidRPr="001E4305">
        <w:t>.</w:t>
      </w:r>
      <w:r w:rsidR="00CA3380">
        <w:t xml:space="preserve"> </w:t>
      </w:r>
      <w:r w:rsidR="00A475FA">
        <w:tab/>
      </w:r>
    </w:p>
    <w:p w14:paraId="2430255F" w14:textId="77777777" w:rsidR="003A3EB5" w:rsidRDefault="003A3EB5" w:rsidP="00E515AA">
      <w:pPr>
        <w:pStyle w:val="Els-body-text"/>
      </w:pPr>
    </w:p>
    <w:p w14:paraId="1FACA9A0" w14:textId="73848F1F" w:rsidR="00CA3380" w:rsidRPr="00610FED" w:rsidRDefault="00CA3380" w:rsidP="00695373">
      <w:pPr>
        <w:pStyle w:val="Didascalia"/>
        <w:keepLines w:val="0"/>
        <w:spacing w:before="0" w:after="0"/>
        <w:rPr>
          <w:szCs w:val="18"/>
        </w:rPr>
      </w:pPr>
      <w:r w:rsidRPr="00610FED">
        <w:rPr>
          <w:b/>
          <w:bCs/>
          <w:szCs w:val="18"/>
        </w:rPr>
        <w:t xml:space="preserve">Table </w:t>
      </w:r>
      <w:r w:rsidRPr="00610FED">
        <w:rPr>
          <w:b/>
          <w:bCs/>
          <w:szCs w:val="18"/>
        </w:rPr>
        <w:fldChar w:fldCharType="begin"/>
      </w:r>
      <w:r w:rsidRPr="00610FED">
        <w:rPr>
          <w:b/>
          <w:bCs/>
          <w:szCs w:val="18"/>
        </w:rPr>
        <w:instrText xml:space="preserve"> SEQ Table \* ARABIC </w:instrText>
      </w:r>
      <w:r w:rsidRPr="00610FED">
        <w:rPr>
          <w:b/>
          <w:bCs/>
          <w:szCs w:val="18"/>
        </w:rPr>
        <w:fldChar w:fldCharType="separate"/>
      </w:r>
      <w:r w:rsidR="00661BF7">
        <w:rPr>
          <w:b/>
          <w:bCs/>
          <w:noProof/>
          <w:szCs w:val="18"/>
        </w:rPr>
        <w:t>1</w:t>
      </w:r>
      <w:r w:rsidRPr="00610FED">
        <w:rPr>
          <w:b/>
          <w:bCs/>
          <w:szCs w:val="18"/>
        </w:rPr>
        <w:fldChar w:fldCharType="end"/>
      </w:r>
      <w:r w:rsidRPr="00610FED">
        <w:rPr>
          <w:b/>
          <w:bCs/>
          <w:szCs w:val="18"/>
        </w:rPr>
        <w:t xml:space="preserve">. </w:t>
      </w:r>
      <w:r w:rsidRPr="00610FED">
        <w:rPr>
          <w:szCs w:val="18"/>
        </w:rPr>
        <w:t>Main characteristics of the refineries case study</w:t>
      </w:r>
    </w:p>
    <w:tbl>
      <w:tblPr>
        <w:tblStyle w:val="Grigliatabella"/>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6"/>
        <w:gridCol w:w="2233"/>
        <w:gridCol w:w="1240"/>
        <w:gridCol w:w="1737"/>
      </w:tblGrid>
      <w:tr w:rsidR="007D6D82" w:rsidRPr="00610FED" w14:paraId="2DEEEFCD" w14:textId="77777777" w:rsidTr="007F3D46">
        <w:tc>
          <w:tcPr>
            <w:tcW w:w="1736" w:type="dxa"/>
            <w:tcBorders>
              <w:top w:val="single" w:sz="4" w:space="0" w:color="auto"/>
              <w:bottom w:val="single" w:sz="4" w:space="0" w:color="auto"/>
            </w:tcBorders>
          </w:tcPr>
          <w:p w14:paraId="3DF42EB3" w14:textId="77777777" w:rsidR="00CA3380" w:rsidRPr="00610FED" w:rsidRDefault="00CA3380" w:rsidP="00E515AA">
            <w:pPr>
              <w:jc w:val="both"/>
              <w:rPr>
                <w:rFonts w:ascii="Times New Roman" w:hAnsi="Times New Roman" w:cs="Times New Roman"/>
                <w:sz w:val="16"/>
                <w:szCs w:val="16"/>
              </w:rPr>
            </w:pPr>
          </w:p>
        </w:tc>
        <w:tc>
          <w:tcPr>
            <w:tcW w:w="2233" w:type="dxa"/>
            <w:tcBorders>
              <w:top w:val="single" w:sz="4" w:space="0" w:color="auto"/>
              <w:bottom w:val="single" w:sz="4" w:space="0" w:color="auto"/>
            </w:tcBorders>
          </w:tcPr>
          <w:p w14:paraId="5BB05F1E" w14:textId="77777777" w:rsidR="00CA3380" w:rsidRPr="00610FED" w:rsidRDefault="00CA3380" w:rsidP="00E515AA">
            <w:pPr>
              <w:jc w:val="both"/>
              <w:rPr>
                <w:rFonts w:ascii="Times New Roman" w:hAnsi="Times New Roman" w:cs="Times New Roman"/>
                <w:sz w:val="16"/>
                <w:szCs w:val="16"/>
              </w:rPr>
            </w:pPr>
          </w:p>
        </w:tc>
        <w:tc>
          <w:tcPr>
            <w:tcW w:w="1240" w:type="dxa"/>
            <w:tcBorders>
              <w:top w:val="single" w:sz="4" w:space="0" w:color="auto"/>
              <w:bottom w:val="single" w:sz="4" w:space="0" w:color="auto"/>
            </w:tcBorders>
          </w:tcPr>
          <w:p w14:paraId="183DF6CA" w14:textId="3DAF8467" w:rsidR="00CA3380" w:rsidRPr="00610FED" w:rsidRDefault="00AE7E2C" w:rsidP="00E515AA">
            <w:pPr>
              <w:jc w:val="both"/>
              <w:rPr>
                <w:rFonts w:ascii="Times New Roman" w:hAnsi="Times New Roman" w:cs="Times New Roman"/>
                <w:b/>
                <w:bCs/>
                <w:sz w:val="16"/>
                <w:szCs w:val="16"/>
              </w:rPr>
            </w:pPr>
            <w:r w:rsidRPr="00AE7E2C">
              <w:rPr>
                <w:rFonts w:ascii="Times New Roman" w:hAnsi="Times New Roman" w:cs="Times New Roman"/>
                <w:b/>
                <w:bCs/>
                <w:sz w:val="16"/>
                <w:szCs w:val="16"/>
              </w:rPr>
              <w:t>Cartagena</w:t>
            </w:r>
          </w:p>
        </w:tc>
        <w:tc>
          <w:tcPr>
            <w:tcW w:w="1737" w:type="dxa"/>
            <w:tcBorders>
              <w:top w:val="single" w:sz="4" w:space="0" w:color="auto"/>
              <w:bottom w:val="single" w:sz="4" w:space="0" w:color="auto"/>
            </w:tcBorders>
          </w:tcPr>
          <w:p w14:paraId="1C3164A6" w14:textId="00D9FF6A" w:rsidR="00CA3380" w:rsidRPr="00610FED" w:rsidRDefault="00695373" w:rsidP="00E515AA">
            <w:pPr>
              <w:jc w:val="both"/>
              <w:rPr>
                <w:rFonts w:ascii="Times New Roman" w:hAnsi="Times New Roman" w:cs="Times New Roman"/>
                <w:b/>
                <w:bCs/>
                <w:sz w:val="16"/>
                <w:szCs w:val="16"/>
              </w:rPr>
            </w:pPr>
            <w:r w:rsidRPr="00AE7E2C">
              <w:rPr>
                <w:rFonts w:ascii="Times New Roman" w:hAnsi="Times New Roman" w:cs="Times New Roman"/>
                <w:b/>
                <w:bCs/>
                <w:sz w:val="16"/>
                <w:szCs w:val="16"/>
              </w:rPr>
              <w:t>Barrancabermeja</w:t>
            </w:r>
          </w:p>
        </w:tc>
      </w:tr>
      <w:tr w:rsidR="007D6D82" w:rsidRPr="00610FED" w14:paraId="6A6D6026" w14:textId="77777777" w:rsidTr="007F3D46">
        <w:tc>
          <w:tcPr>
            <w:tcW w:w="1736" w:type="dxa"/>
            <w:tcBorders>
              <w:top w:val="single" w:sz="4" w:space="0" w:color="auto"/>
            </w:tcBorders>
          </w:tcPr>
          <w:p w14:paraId="4272477E" w14:textId="77777777" w:rsidR="00CA3380" w:rsidRPr="00610FED" w:rsidRDefault="00CA3380" w:rsidP="00E515AA">
            <w:pPr>
              <w:rPr>
                <w:rFonts w:ascii="Times New Roman" w:hAnsi="Times New Roman" w:cs="Times New Roman"/>
                <w:sz w:val="16"/>
                <w:szCs w:val="16"/>
              </w:rPr>
            </w:pPr>
          </w:p>
        </w:tc>
        <w:tc>
          <w:tcPr>
            <w:tcW w:w="2233" w:type="dxa"/>
            <w:tcBorders>
              <w:top w:val="single" w:sz="4" w:space="0" w:color="auto"/>
            </w:tcBorders>
          </w:tcPr>
          <w:p w14:paraId="352D7335" w14:textId="77777777" w:rsidR="00CA3380" w:rsidRPr="00610FED" w:rsidRDefault="00CA3380" w:rsidP="00E515AA">
            <w:pPr>
              <w:rPr>
                <w:rFonts w:ascii="Times New Roman" w:hAnsi="Times New Roman" w:cs="Times New Roman"/>
                <w:b/>
                <w:bCs/>
                <w:sz w:val="16"/>
                <w:szCs w:val="16"/>
              </w:rPr>
            </w:pPr>
            <w:r w:rsidRPr="00610FED">
              <w:rPr>
                <w:rFonts w:ascii="Times New Roman" w:hAnsi="Times New Roman" w:cs="Times New Roman"/>
                <w:b/>
                <w:bCs/>
                <w:sz w:val="16"/>
                <w:szCs w:val="16"/>
              </w:rPr>
              <w:t>Unit</w:t>
            </w:r>
          </w:p>
        </w:tc>
        <w:tc>
          <w:tcPr>
            <w:tcW w:w="1240" w:type="dxa"/>
            <w:tcBorders>
              <w:top w:val="single" w:sz="4" w:space="0" w:color="auto"/>
            </w:tcBorders>
          </w:tcPr>
          <w:p w14:paraId="2BA98834" w14:textId="77777777" w:rsidR="00CA3380" w:rsidRPr="00610FED" w:rsidRDefault="00CA3380" w:rsidP="00E515AA">
            <w:pPr>
              <w:rPr>
                <w:rFonts w:ascii="Times New Roman" w:hAnsi="Times New Roman" w:cs="Times New Roman"/>
                <w:b/>
                <w:bCs/>
                <w:sz w:val="16"/>
                <w:szCs w:val="16"/>
              </w:rPr>
            </w:pPr>
            <w:r w:rsidRPr="00610FED">
              <w:rPr>
                <w:rFonts w:ascii="Times New Roman" w:hAnsi="Times New Roman" w:cs="Times New Roman"/>
                <w:b/>
                <w:bCs/>
                <w:sz w:val="16"/>
                <w:szCs w:val="16"/>
              </w:rPr>
              <w:t>Value</w:t>
            </w:r>
          </w:p>
        </w:tc>
        <w:tc>
          <w:tcPr>
            <w:tcW w:w="1737" w:type="dxa"/>
            <w:tcBorders>
              <w:top w:val="single" w:sz="4" w:space="0" w:color="auto"/>
            </w:tcBorders>
          </w:tcPr>
          <w:p w14:paraId="21DB0577" w14:textId="77777777" w:rsidR="00CA3380" w:rsidRPr="00610FED" w:rsidRDefault="00CA3380" w:rsidP="00E515AA">
            <w:pPr>
              <w:rPr>
                <w:rFonts w:ascii="Times New Roman" w:hAnsi="Times New Roman" w:cs="Times New Roman"/>
                <w:b/>
                <w:bCs/>
                <w:sz w:val="16"/>
                <w:szCs w:val="16"/>
              </w:rPr>
            </w:pPr>
            <w:r w:rsidRPr="00610FED">
              <w:rPr>
                <w:rFonts w:ascii="Times New Roman" w:hAnsi="Times New Roman" w:cs="Times New Roman"/>
                <w:b/>
                <w:bCs/>
                <w:sz w:val="16"/>
                <w:szCs w:val="16"/>
              </w:rPr>
              <w:t>Value</w:t>
            </w:r>
          </w:p>
        </w:tc>
      </w:tr>
      <w:tr w:rsidR="003A3EB5" w:rsidRPr="00610FED" w14:paraId="16D5AC4A" w14:textId="77777777" w:rsidTr="007F3D46">
        <w:tc>
          <w:tcPr>
            <w:tcW w:w="1736" w:type="dxa"/>
          </w:tcPr>
          <w:p w14:paraId="3BDDA515" w14:textId="0CAB42E4" w:rsidR="003A3EB5" w:rsidRPr="00610FED" w:rsidRDefault="003A3EB5" w:rsidP="00E515AA">
            <w:pPr>
              <w:rPr>
                <w:rFonts w:ascii="Times New Roman" w:hAnsi="Times New Roman" w:cs="Times New Roman"/>
                <w:sz w:val="16"/>
                <w:szCs w:val="16"/>
                <w:vertAlign w:val="superscript"/>
              </w:rPr>
            </w:pPr>
            <w:r w:rsidRPr="00610FED">
              <w:rPr>
                <w:rFonts w:ascii="Times New Roman" w:hAnsi="Times New Roman" w:cs="Times New Roman"/>
                <w:sz w:val="16"/>
                <w:szCs w:val="16"/>
              </w:rPr>
              <w:t>Complexity level</w:t>
            </w:r>
            <w:r w:rsidR="00B878A4">
              <w:rPr>
                <w:rFonts w:ascii="Times New Roman" w:hAnsi="Times New Roman" w:cs="Times New Roman"/>
                <w:sz w:val="16"/>
                <w:szCs w:val="16"/>
                <w:vertAlign w:val="superscript"/>
              </w:rPr>
              <w:t>1</w:t>
            </w:r>
            <w:r w:rsidRPr="00610FED">
              <w:rPr>
                <w:rFonts w:ascii="Times New Roman" w:hAnsi="Times New Roman" w:cs="Times New Roman"/>
                <w:sz w:val="16"/>
                <w:szCs w:val="16"/>
              </w:rPr>
              <w:t xml:space="preserve"> </w:t>
            </w:r>
          </w:p>
        </w:tc>
        <w:tc>
          <w:tcPr>
            <w:tcW w:w="2233" w:type="dxa"/>
          </w:tcPr>
          <w:p w14:paraId="4112E408" w14:textId="77777777" w:rsidR="003A3EB5" w:rsidRPr="00610FED" w:rsidRDefault="003A3EB5" w:rsidP="00E515AA">
            <w:pPr>
              <w:rPr>
                <w:rFonts w:ascii="Times New Roman" w:hAnsi="Times New Roman" w:cs="Times New Roman"/>
                <w:sz w:val="16"/>
                <w:szCs w:val="16"/>
              </w:rPr>
            </w:pPr>
          </w:p>
        </w:tc>
        <w:tc>
          <w:tcPr>
            <w:tcW w:w="1240" w:type="dxa"/>
          </w:tcPr>
          <w:p w14:paraId="0CC2D2BD" w14:textId="2312E5A3" w:rsidR="003A3EB5" w:rsidRPr="00610FED" w:rsidRDefault="003A3EB5" w:rsidP="00E515AA">
            <w:pPr>
              <w:rPr>
                <w:rFonts w:ascii="Times New Roman" w:hAnsi="Times New Roman" w:cs="Times New Roman"/>
                <w:sz w:val="16"/>
                <w:szCs w:val="16"/>
              </w:rPr>
            </w:pPr>
            <w:r w:rsidRPr="00610FED">
              <w:rPr>
                <w:rFonts w:ascii="Times New Roman" w:hAnsi="Times New Roman" w:cs="Times New Roman"/>
                <w:sz w:val="16"/>
                <w:szCs w:val="16"/>
              </w:rPr>
              <w:t>High</w:t>
            </w:r>
          </w:p>
        </w:tc>
        <w:tc>
          <w:tcPr>
            <w:tcW w:w="1737" w:type="dxa"/>
          </w:tcPr>
          <w:p w14:paraId="291B493F" w14:textId="27006BEB" w:rsidR="003A3EB5" w:rsidRPr="00610FED" w:rsidRDefault="003A3EB5" w:rsidP="00E515AA">
            <w:pPr>
              <w:rPr>
                <w:rFonts w:ascii="Times New Roman" w:hAnsi="Times New Roman" w:cs="Times New Roman"/>
                <w:sz w:val="16"/>
                <w:szCs w:val="16"/>
              </w:rPr>
            </w:pPr>
            <w:r w:rsidRPr="00610FED">
              <w:rPr>
                <w:rFonts w:ascii="Times New Roman" w:hAnsi="Times New Roman" w:cs="Times New Roman"/>
                <w:sz w:val="16"/>
                <w:szCs w:val="16"/>
              </w:rPr>
              <w:t>Medium</w:t>
            </w:r>
          </w:p>
        </w:tc>
      </w:tr>
      <w:tr w:rsidR="007D6D82" w:rsidRPr="00610FED" w14:paraId="7492A3B5" w14:textId="77777777" w:rsidTr="007F3D46">
        <w:tc>
          <w:tcPr>
            <w:tcW w:w="1736" w:type="dxa"/>
          </w:tcPr>
          <w:p w14:paraId="010E7B4F" w14:textId="49724BE5"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 xml:space="preserve">Crude oil </w:t>
            </w:r>
            <w:r w:rsidR="001B4EA6">
              <w:rPr>
                <w:rFonts w:ascii="Times New Roman" w:hAnsi="Times New Roman" w:cs="Times New Roman"/>
                <w:sz w:val="16"/>
                <w:szCs w:val="16"/>
              </w:rPr>
              <w:t>Capacity</w:t>
            </w:r>
          </w:p>
        </w:tc>
        <w:tc>
          <w:tcPr>
            <w:tcW w:w="2233" w:type="dxa"/>
          </w:tcPr>
          <w:p w14:paraId="239D2F96" w14:textId="42486B36"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Mt/y</w:t>
            </w:r>
          </w:p>
        </w:tc>
        <w:tc>
          <w:tcPr>
            <w:tcW w:w="1240" w:type="dxa"/>
          </w:tcPr>
          <w:p w14:paraId="60375593" w14:textId="27C30B33"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 xml:space="preserve">11.45 </w:t>
            </w:r>
          </w:p>
        </w:tc>
        <w:tc>
          <w:tcPr>
            <w:tcW w:w="1737" w:type="dxa"/>
          </w:tcPr>
          <w:p w14:paraId="45DAC3B4" w14:textId="29FD5A91"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 xml:space="preserve">11.95 </w:t>
            </w:r>
          </w:p>
        </w:tc>
      </w:tr>
      <w:tr w:rsidR="007D6D82" w:rsidRPr="00610FED" w14:paraId="15CC74F9" w14:textId="77777777" w:rsidTr="007F3D46">
        <w:tc>
          <w:tcPr>
            <w:tcW w:w="1736" w:type="dxa"/>
          </w:tcPr>
          <w:p w14:paraId="389F565C"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Annual CO</w:t>
            </w:r>
            <w:r w:rsidRPr="00610FED">
              <w:rPr>
                <w:rFonts w:ascii="Times New Roman" w:hAnsi="Times New Roman" w:cs="Times New Roman"/>
                <w:sz w:val="16"/>
                <w:szCs w:val="16"/>
                <w:vertAlign w:val="subscript"/>
              </w:rPr>
              <w:t xml:space="preserve">2 </w:t>
            </w:r>
            <w:r w:rsidRPr="00610FED">
              <w:rPr>
                <w:rFonts w:ascii="Times New Roman" w:hAnsi="Times New Roman" w:cs="Times New Roman"/>
                <w:sz w:val="16"/>
                <w:szCs w:val="16"/>
              </w:rPr>
              <w:t>emissions</w:t>
            </w:r>
          </w:p>
        </w:tc>
        <w:tc>
          <w:tcPr>
            <w:tcW w:w="2233" w:type="dxa"/>
          </w:tcPr>
          <w:p w14:paraId="53C0C7C9" w14:textId="4CA5846E"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Mt CO</w:t>
            </w:r>
            <w:r w:rsidRPr="00610FED">
              <w:rPr>
                <w:rFonts w:ascii="Times New Roman" w:hAnsi="Times New Roman" w:cs="Times New Roman"/>
                <w:sz w:val="16"/>
                <w:szCs w:val="16"/>
                <w:vertAlign w:val="subscript"/>
              </w:rPr>
              <w:t>2</w:t>
            </w:r>
            <w:r w:rsidRPr="00610FED">
              <w:rPr>
                <w:rFonts w:ascii="Times New Roman" w:hAnsi="Times New Roman" w:cs="Times New Roman"/>
                <w:sz w:val="16"/>
                <w:szCs w:val="16"/>
              </w:rPr>
              <w:t>-eq</w:t>
            </w:r>
            <w:r w:rsidR="001B4EA6">
              <w:rPr>
                <w:rFonts w:ascii="Times New Roman" w:hAnsi="Times New Roman" w:cs="Times New Roman"/>
                <w:sz w:val="16"/>
                <w:szCs w:val="16"/>
              </w:rPr>
              <w:t xml:space="preserve"> </w:t>
            </w:r>
            <w:r w:rsidRPr="00610FED">
              <w:rPr>
                <w:rFonts w:ascii="Times New Roman" w:hAnsi="Times New Roman" w:cs="Times New Roman"/>
                <w:sz w:val="16"/>
                <w:szCs w:val="16"/>
              </w:rPr>
              <w:t>/y</w:t>
            </w:r>
          </w:p>
        </w:tc>
        <w:tc>
          <w:tcPr>
            <w:tcW w:w="1240" w:type="dxa"/>
          </w:tcPr>
          <w:p w14:paraId="25BD44FC"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2.5</w:t>
            </w:r>
          </w:p>
        </w:tc>
        <w:tc>
          <w:tcPr>
            <w:tcW w:w="1737" w:type="dxa"/>
          </w:tcPr>
          <w:p w14:paraId="690C3EA7"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3.1</w:t>
            </w:r>
          </w:p>
        </w:tc>
      </w:tr>
      <w:tr w:rsidR="007D6D82" w:rsidRPr="00610FED" w14:paraId="6A52DB4A" w14:textId="77777777" w:rsidTr="007F3D46">
        <w:tc>
          <w:tcPr>
            <w:tcW w:w="1736" w:type="dxa"/>
          </w:tcPr>
          <w:p w14:paraId="5FB021F0"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Gas fuel consumption</w:t>
            </w:r>
          </w:p>
        </w:tc>
        <w:tc>
          <w:tcPr>
            <w:tcW w:w="2233" w:type="dxa"/>
          </w:tcPr>
          <w:p w14:paraId="0312D7D9" w14:textId="26905CC6"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PJ/y</w:t>
            </w:r>
          </w:p>
        </w:tc>
        <w:tc>
          <w:tcPr>
            <w:tcW w:w="1240" w:type="dxa"/>
          </w:tcPr>
          <w:p w14:paraId="04EF4347"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22.6</w:t>
            </w:r>
          </w:p>
        </w:tc>
        <w:tc>
          <w:tcPr>
            <w:tcW w:w="1737" w:type="dxa"/>
          </w:tcPr>
          <w:p w14:paraId="69F4AB0C"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40.3</w:t>
            </w:r>
          </w:p>
        </w:tc>
      </w:tr>
      <w:tr w:rsidR="00D1377F" w:rsidRPr="00610FED" w14:paraId="32C5F97E" w14:textId="77777777" w:rsidTr="007F3D46">
        <w:tc>
          <w:tcPr>
            <w:tcW w:w="1736" w:type="dxa"/>
          </w:tcPr>
          <w:p w14:paraId="07B3A50A"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Electricity production</w:t>
            </w:r>
          </w:p>
        </w:tc>
        <w:tc>
          <w:tcPr>
            <w:tcW w:w="2233" w:type="dxa"/>
          </w:tcPr>
          <w:p w14:paraId="11CF2D7A" w14:textId="79AF0281" w:rsidR="00CA3380" w:rsidRPr="00610FED" w:rsidRDefault="00CA3380" w:rsidP="00E515AA">
            <w:pPr>
              <w:rPr>
                <w:rFonts w:ascii="Times New Roman" w:hAnsi="Times New Roman" w:cs="Times New Roman"/>
                <w:sz w:val="16"/>
                <w:szCs w:val="16"/>
              </w:rPr>
            </w:pPr>
            <w:proofErr w:type="spellStart"/>
            <w:r w:rsidRPr="00610FED">
              <w:rPr>
                <w:rFonts w:ascii="Times New Roman" w:hAnsi="Times New Roman" w:cs="Times New Roman"/>
                <w:sz w:val="16"/>
                <w:szCs w:val="16"/>
              </w:rPr>
              <w:t>PJe</w:t>
            </w:r>
            <w:proofErr w:type="spellEnd"/>
            <w:r w:rsidRPr="00610FED">
              <w:rPr>
                <w:rFonts w:ascii="Times New Roman" w:hAnsi="Times New Roman" w:cs="Times New Roman"/>
                <w:sz w:val="16"/>
                <w:szCs w:val="16"/>
              </w:rPr>
              <w:t>/y</w:t>
            </w:r>
          </w:p>
        </w:tc>
        <w:tc>
          <w:tcPr>
            <w:tcW w:w="1240" w:type="dxa"/>
          </w:tcPr>
          <w:p w14:paraId="541067AD"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2.93</w:t>
            </w:r>
          </w:p>
        </w:tc>
        <w:tc>
          <w:tcPr>
            <w:tcW w:w="1737" w:type="dxa"/>
          </w:tcPr>
          <w:p w14:paraId="14664732"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3.53</w:t>
            </w:r>
          </w:p>
        </w:tc>
      </w:tr>
      <w:tr w:rsidR="00D1377F" w:rsidRPr="00610FED" w14:paraId="2D299886" w14:textId="77777777" w:rsidTr="007F3D46">
        <w:tc>
          <w:tcPr>
            <w:tcW w:w="1736" w:type="dxa"/>
          </w:tcPr>
          <w:p w14:paraId="700136AE"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Steam production</w:t>
            </w:r>
          </w:p>
        </w:tc>
        <w:tc>
          <w:tcPr>
            <w:tcW w:w="2233" w:type="dxa"/>
          </w:tcPr>
          <w:p w14:paraId="799B9E3A" w14:textId="72B6DDBF" w:rsidR="00CA3380" w:rsidRPr="00610FED" w:rsidRDefault="00CA3380" w:rsidP="00E515AA">
            <w:pPr>
              <w:rPr>
                <w:rFonts w:ascii="Times New Roman" w:hAnsi="Times New Roman" w:cs="Times New Roman"/>
                <w:sz w:val="16"/>
                <w:szCs w:val="16"/>
              </w:rPr>
            </w:pPr>
            <w:proofErr w:type="spellStart"/>
            <w:r w:rsidRPr="00610FED">
              <w:rPr>
                <w:rFonts w:ascii="Times New Roman" w:hAnsi="Times New Roman" w:cs="Times New Roman"/>
                <w:sz w:val="16"/>
                <w:szCs w:val="16"/>
              </w:rPr>
              <w:t>PJth</w:t>
            </w:r>
            <w:proofErr w:type="spellEnd"/>
            <w:r w:rsidRPr="00610FED">
              <w:rPr>
                <w:rFonts w:ascii="Times New Roman" w:hAnsi="Times New Roman" w:cs="Times New Roman"/>
                <w:sz w:val="16"/>
                <w:szCs w:val="16"/>
              </w:rPr>
              <w:t>/y</w:t>
            </w:r>
          </w:p>
        </w:tc>
        <w:tc>
          <w:tcPr>
            <w:tcW w:w="1240" w:type="dxa"/>
          </w:tcPr>
          <w:p w14:paraId="6212225C"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3.5</w:t>
            </w:r>
          </w:p>
        </w:tc>
        <w:tc>
          <w:tcPr>
            <w:tcW w:w="1737" w:type="dxa"/>
          </w:tcPr>
          <w:p w14:paraId="6CBD1709"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28.63</w:t>
            </w:r>
          </w:p>
        </w:tc>
      </w:tr>
      <w:tr w:rsidR="00D1377F" w:rsidRPr="00610FED" w14:paraId="4103F788" w14:textId="77777777" w:rsidTr="007F3D46">
        <w:tc>
          <w:tcPr>
            <w:tcW w:w="1736" w:type="dxa"/>
          </w:tcPr>
          <w:p w14:paraId="2FCD2805"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Hydrogen production</w:t>
            </w:r>
          </w:p>
        </w:tc>
        <w:tc>
          <w:tcPr>
            <w:tcW w:w="2233" w:type="dxa"/>
          </w:tcPr>
          <w:p w14:paraId="6C850B66" w14:textId="7F6B041D"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kt/y</w:t>
            </w:r>
          </w:p>
        </w:tc>
        <w:tc>
          <w:tcPr>
            <w:tcW w:w="1240" w:type="dxa"/>
          </w:tcPr>
          <w:p w14:paraId="4713421D"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84</w:t>
            </w:r>
          </w:p>
        </w:tc>
        <w:tc>
          <w:tcPr>
            <w:tcW w:w="1737" w:type="dxa"/>
          </w:tcPr>
          <w:p w14:paraId="48DC2854"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28.7</w:t>
            </w:r>
          </w:p>
        </w:tc>
      </w:tr>
      <w:tr w:rsidR="00D1377F" w:rsidRPr="00610FED" w14:paraId="44E0D548" w14:textId="77777777" w:rsidTr="007F3D46">
        <w:tc>
          <w:tcPr>
            <w:tcW w:w="1736" w:type="dxa"/>
          </w:tcPr>
          <w:p w14:paraId="503BEE27"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Total Conversion Yield</w:t>
            </w:r>
          </w:p>
        </w:tc>
        <w:tc>
          <w:tcPr>
            <w:tcW w:w="2233" w:type="dxa"/>
          </w:tcPr>
          <w:p w14:paraId="262C2E87"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w:t>
            </w:r>
          </w:p>
        </w:tc>
        <w:tc>
          <w:tcPr>
            <w:tcW w:w="1240" w:type="dxa"/>
          </w:tcPr>
          <w:p w14:paraId="0801BB27" w14:textId="52AFB145"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96.7</w:t>
            </w:r>
            <w:r w:rsidR="005924F0" w:rsidRPr="00610FED">
              <w:rPr>
                <w:rFonts w:ascii="Times New Roman" w:hAnsi="Times New Roman" w:cs="Times New Roman"/>
                <w:sz w:val="16"/>
                <w:szCs w:val="16"/>
              </w:rPr>
              <w:t xml:space="preserve"> </w:t>
            </w:r>
            <w:r w:rsidRPr="00610FED">
              <w:rPr>
                <w:rFonts w:ascii="Times New Roman" w:hAnsi="Times New Roman" w:cs="Times New Roman"/>
                <w:sz w:val="16"/>
                <w:szCs w:val="16"/>
              </w:rPr>
              <w:t>%</w:t>
            </w:r>
          </w:p>
        </w:tc>
        <w:tc>
          <w:tcPr>
            <w:tcW w:w="1737" w:type="dxa"/>
          </w:tcPr>
          <w:p w14:paraId="45756CEF" w14:textId="3930779D"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77</w:t>
            </w:r>
            <w:r w:rsidR="005924F0" w:rsidRPr="00610FED">
              <w:rPr>
                <w:rFonts w:ascii="Times New Roman" w:hAnsi="Times New Roman" w:cs="Times New Roman"/>
                <w:sz w:val="16"/>
                <w:szCs w:val="16"/>
              </w:rPr>
              <w:t xml:space="preserve"> </w:t>
            </w:r>
            <w:r w:rsidRPr="00610FED">
              <w:rPr>
                <w:rFonts w:ascii="Times New Roman" w:hAnsi="Times New Roman" w:cs="Times New Roman"/>
                <w:sz w:val="16"/>
                <w:szCs w:val="16"/>
              </w:rPr>
              <w:t>%</w:t>
            </w:r>
          </w:p>
        </w:tc>
      </w:tr>
      <w:tr w:rsidR="00D1377F" w:rsidRPr="00610FED" w14:paraId="6C4DB115" w14:textId="77777777" w:rsidTr="007F3D46">
        <w:tc>
          <w:tcPr>
            <w:tcW w:w="1736" w:type="dxa"/>
            <w:tcBorders>
              <w:bottom w:val="single" w:sz="4" w:space="0" w:color="auto"/>
            </w:tcBorders>
          </w:tcPr>
          <w:p w14:paraId="1B552AB0"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H</w:t>
            </w:r>
            <w:r w:rsidRPr="00610FED">
              <w:rPr>
                <w:rFonts w:ascii="Times New Roman" w:hAnsi="Times New Roman" w:cs="Times New Roman"/>
                <w:sz w:val="16"/>
                <w:szCs w:val="16"/>
                <w:vertAlign w:val="subscript"/>
              </w:rPr>
              <w:t>2</w:t>
            </w:r>
            <w:r w:rsidRPr="00610FED">
              <w:rPr>
                <w:rFonts w:ascii="Times New Roman" w:hAnsi="Times New Roman" w:cs="Times New Roman"/>
                <w:sz w:val="16"/>
                <w:szCs w:val="16"/>
              </w:rPr>
              <w:t xml:space="preserve"> consumption index</w:t>
            </w:r>
          </w:p>
        </w:tc>
        <w:tc>
          <w:tcPr>
            <w:tcW w:w="2233" w:type="dxa"/>
            <w:tcBorders>
              <w:bottom w:val="single" w:sz="4" w:space="0" w:color="auto"/>
            </w:tcBorders>
          </w:tcPr>
          <w:p w14:paraId="2D5370EA" w14:textId="6773168D" w:rsidR="00CA3380" w:rsidRPr="00610FED" w:rsidRDefault="00CA3380" w:rsidP="008040BC">
            <w:pPr>
              <w:rPr>
                <w:rFonts w:ascii="Times New Roman" w:hAnsi="Times New Roman" w:cs="Times New Roman"/>
                <w:sz w:val="16"/>
                <w:szCs w:val="16"/>
                <w:lang w:val="en-GB"/>
              </w:rPr>
            </w:pPr>
            <w:r w:rsidRPr="00610FED">
              <w:rPr>
                <w:rFonts w:ascii="Times New Roman" w:hAnsi="Times New Roman" w:cs="Times New Roman"/>
                <w:sz w:val="16"/>
                <w:szCs w:val="16"/>
                <w:lang w:val="en-GB"/>
              </w:rPr>
              <w:t>t H</w:t>
            </w:r>
            <w:r w:rsidRPr="00610FED">
              <w:rPr>
                <w:rFonts w:ascii="Times New Roman" w:hAnsi="Times New Roman" w:cs="Times New Roman"/>
                <w:sz w:val="16"/>
                <w:szCs w:val="16"/>
                <w:vertAlign w:val="subscript"/>
                <w:lang w:val="en-GB"/>
              </w:rPr>
              <w:t>2</w:t>
            </w:r>
            <w:r w:rsidR="00AE7E2C">
              <w:rPr>
                <w:rFonts w:ascii="Times New Roman" w:hAnsi="Times New Roman" w:cs="Times New Roman"/>
                <w:sz w:val="16"/>
                <w:szCs w:val="16"/>
                <w:lang w:val="en-GB"/>
              </w:rPr>
              <w:t xml:space="preserve">-consumed </w:t>
            </w:r>
            <w:r w:rsidRPr="00610FED">
              <w:rPr>
                <w:rFonts w:ascii="Times New Roman" w:hAnsi="Times New Roman" w:cs="Times New Roman"/>
                <w:sz w:val="16"/>
                <w:szCs w:val="16"/>
                <w:lang w:val="en-GB"/>
              </w:rPr>
              <w:t>/</w:t>
            </w:r>
            <w:r w:rsidR="001909B6">
              <w:rPr>
                <w:rFonts w:ascii="Times New Roman" w:hAnsi="Times New Roman" w:cs="Times New Roman"/>
                <w:sz w:val="16"/>
                <w:szCs w:val="16"/>
                <w:lang w:val="en-GB"/>
              </w:rPr>
              <w:t xml:space="preserve"> feedstock </w:t>
            </w:r>
          </w:p>
        </w:tc>
        <w:tc>
          <w:tcPr>
            <w:tcW w:w="1240" w:type="dxa"/>
            <w:tcBorders>
              <w:bottom w:val="single" w:sz="4" w:space="0" w:color="auto"/>
            </w:tcBorders>
          </w:tcPr>
          <w:p w14:paraId="751F85B7"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0.015</w:t>
            </w:r>
          </w:p>
        </w:tc>
        <w:tc>
          <w:tcPr>
            <w:tcW w:w="1737" w:type="dxa"/>
            <w:tcBorders>
              <w:bottom w:val="single" w:sz="4" w:space="0" w:color="auto"/>
            </w:tcBorders>
          </w:tcPr>
          <w:p w14:paraId="5559ACF9" w14:textId="77777777" w:rsidR="00CA3380" w:rsidRPr="00610FED" w:rsidRDefault="00CA3380" w:rsidP="00E515AA">
            <w:pPr>
              <w:rPr>
                <w:rFonts w:ascii="Times New Roman" w:hAnsi="Times New Roman" w:cs="Times New Roman"/>
                <w:sz w:val="16"/>
                <w:szCs w:val="16"/>
              </w:rPr>
            </w:pPr>
            <w:r w:rsidRPr="00610FED">
              <w:rPr>
                <w:rFonts w:ascii="Times New Roman" w:hAnsi="Times New Roman" w:cs="Times New Roman"/>
                <w:sz w:val="16"/>
                <w:szCs w:val="16"/>
              </w:rPr>
              <w:t>0.0051</w:t>
            </w:r>
          </w:p>
        </w:tc>
      </w:tr>
    </w:tbl>
    <w:p w14:paraId="18B58B96" w14:textId="097328EB" w:rsidR="00E515AA" w:rsidRPr="00A02D35" w:rsidRDefault="00B878A4" w:rsidP="00A02D35">
      <w:pPr>
        <w:rPr>
          <w:sz w:val="15"/>
          <w:szCs w:val="15"/>
        </w:rPr>
      </w:pPr>
      <w:r w:rsidRPr="00A02D35">
        <w:rPr>
          <w:b/>
          <w:sz w:val="15"/>
          <w:szCs w:val="15"/>
        </w:rPr>
        <w:t xml:space="preserve">1: </w:t>
      </w:r>
      <w:r w:rsidRPr="00A02D35">
        <w:rPr>
          <w:sz w:val="15"/>
          <w:szCs w:val="15"/>
        </w:rPr>
        <w:t xml:space="preserve">The refinery complexity is defined by the Nelson Complexity Index, which quantifies the type of process units in a refinery and their capacity relative to the atmospheric distillation unit by assigning a factor </w:t>
      </w:r>
      <w:r w:rsidRPr="00A02D35">
        <w:rPr>
          <w:sz w:val="15"/>
          <w:szCs w:val="15"/>
        </w:rPr>
        <w:fldChar w:fldCharType="begin" w:fldLock="1"/>
      </w:r>
      <w:r w:rsidRPr="00A02D35">
        <w:rPr>
          <w:sz w:val="15"/>
          <w:szCs w:val="15"/>
        </w:rPr>
        <w:instrText>ADDIN CSL_CITATION {"citationItems":[{"id":"ITEM-1","itemData":{"DOI":"10.1007/s12182-016-0137-y","ISSN":"19958226","abstract":"Refinery complexity quantifies the sophistication and capital intensity of a refinery and has found widespread application in facility classification, cost estimation, sales price models, and other uses. Despite the ubiquity and widespread use of refining complexity, however, surprisingly little material has been written on its applications. The purpose of this review is to describe the primary applications of refinery complexity and some recent extensions. A secondary purpose of this review is to provide a framework that unifies complexity applications and suggests avenues for future research. Examples illustrate the applications considered.","author":[{"dropping-particle":"","family":"Kaiser","given":"Mark J.","non-dropping-particle":"","parse-names":false,"suffix":""}],"container-title":"Petroleum Science","id":"ITEM-1","issue":"1","issued":{"date-parts":[["2017"]]},"page":"167-194","publisher":"China University of Petroleum (Beijing)","title":"A review of refinery complexity applications","type":"article-journal","volume":"14"},"uris":["http://www.mendeley.com/documents/?uuid=89df07f2-671e-4903-895d-afe50330af0d"]}],"mendeley":{"formattedCitation":"(Kaiser, 2017)","plainTextFormattedCitation":"(Kaiser, 2017)","previouslyFormattedCitation":"(Kaiser, 2017)"},"properties":{"noteIndex":0},"schema":"https://github.com/citation-style-language/schema/raw/master/csl-citation.json"}</w:instrText>
      </w:r>
      <w:r w:rsidRPr="00A02D35">
        <w:rPr>
          <w:sz w:val="15"/>
          <w:szCs w:val="15"/>
        </w:rPr>
        <w:fldChar w:fldCharType="separate"/>
      </w:r>
      <w:r w:rsidRPr="00A02D35">
        <w:rPr>
          <w:noProof/>
          <w:sz w:val="15"/>
          <w:szCs w:val="15"/>
        </w:rPr>
        <w:t>(Kaiser, 2017)</w:t>
      </w:r>
      <w:r w:rsidRPr="00A02D35">
        <w:rPr>
          <w:sz w:val="15"/>
          <w:szCs w:val="15"/>
        </w:rPr>
        <w:fldChar w:fldCharType="end"/>
      </w:r>
      <w:r w:rsidRPr="00A02D35">
        <w:rPr>
          <w:sz w:val="15"/>
          <w:szCs w:val="15"/>
        </w:rPr>
        <w:t>.</w:t>
      </w:r>
    </w:p>
    <w:p w14:paraId="6D3DD09A" w14:textId="77777777" w:rsidR="00B878A4" w:rsidRPr="00B878A4" w:rsidRDefault="00B878A4" w:rsidP="00A02D35">
      <w:pPr>
        <w:pStyle w:val="Els-body-text"/>
      </w:pPr>
    </w:p>
    <w:p w14:paraId="15907D7A" w14:textId="7B6D657B" w:rsidR="00CA3380" w:rsidRDefault="00CA3380" w:rsidP="00695373">
      <w:pPr>
        <w:pStyle w:val="Els-1storder-head"/>
        <w:spacing w:before="0" w:after="0"/>
      </w:pPr>
      <w:r w:rsidRPr="00CA3380">
        <w:t>Methodology</w:t>
      </w:r>
    </w:p>
    <w:p w14:paraId="643DF208" w14:textId="51EE34BA" w:rsidR="00AE7E2C" w:rsidRPr="0064643A" w:rsidRDefault="00B9077A" w:rsidP="00A54B0C">
      <w:pPr>
        <w:pStyle w:val="Els-body-text"/>
      </w:pPr>
      <w:r w:rsidRPr="000C57EA">
        <w:t>T</w:t>
      </w:r>
      <w:r w:rsidR="00CA3380" w:rsidRPr="000C57EA">
        <w:t xml:space="preserve">he methodology </w:t>
      </w:r>
      <w:r w:rsidR="00F15B21">
        <w:t xml:space="preserve">is composed of </w:t>
      </w:r>
      <w:r w:rsidR="00CA3380" w:rsidRPr="00610FED">
        <w:t>three stages</w:t>
      </w:r>
      <w:r w:rsidR="00CA3380" w:rsidRPr="000C57EA">
        <w:t xml:space="preserve">. </w:t>
      </w:r>
      <w:r w:rsidR="00CA3380" w:rsidRPr="00610FED">
        <w:t>In the first stage</w:t>
      </w:r>
      <w:r w:rsidR="00CA3380" w:rsidRPr="000C57EA">
        <w:t xml:space="preserve">, </w:t>
      </w:r>
      <w:r w:rsidR="001A308D" w:rsidRPr="000C57EA">
        <w:t>promising low</w:t>
      </w:r>
      <w:r w:rsidR="00E979EB">
        <w:t>-carbon</w:t>
      </w:r>
      <w:r w:rsidR="006029BD" w:rsidRPr="000C57EA">
        <w:t xml:space="preserve"> </w:t>
      </w:r>
      <w:r w:rsidR="00CA3380" w:rsidRPr="000C57EA">
        <w:t xml:space="preserve">technologies </w:t>
      </w:r>
      <w:r w:rsidR="001A308D" w:rsidRPr="000C57EA">
        <w:t xml:space="preserve">for </w:t>
      </w:r>
      <w:r w:rsidR="006029BD" w:rsidRPr="000C57EA">
        <w:t xml:space="preserve">hydrogen </w:t>
      </w:r>
      <w:r w:rsidR="001A308D" w:rsidRPr="000C57EA">
        <w:t xml:space="preserve">production </w:t>
      </w:r>
      <w:r w:rsidR="006029BD" w:rsidRPr="000C57EA">
        <w:t>and</w:t>
      </w:r>
      <w:r w:rsidR="001A308D" w:rsidRPr="000C57EA">
        <w:t xml:space="preserve"> </w:t>
      </w:r>
      <w:r w:rsidR="006029BD" w:rsidRPr="000C57EA">
        <w:t>CO</w:t>
      </w:r>
      <w:r w:rsidR="006029BD" w:rsidRPr="000C57EA">
        <w:rPr>
          <w:vertAlign w:val="subscript"/>
        </w:rPr>
        <w:t>2</w:t>
      </w:r>
      <w:r w:rsidR="006029BD" w:rsidRPr="000C57EA">
        <w:t xml:space="preserve"> capture </w:t>
      </w:r>
      <w:r w:rsidR="001A308D" w:rsidRPr="000C57EA">
        <w:t xml:space="preserve">technologies </w:t>
      </w:r>
      <w:r w:rsidR="00CA3380" w:rsidRPr="000C57EA">
        <w:t>were identified. The</w:t>
      </w:r>
      <w:r w:rsidR="001A308D" w:rsidRPr="000C57EA">
        <w:t xml:space="preserve"> assessment </w:t>
      </w:r>
      <w:r w:rsidR="00F15B21" w:rsidRPr="000C57EA">
        <w:t>considered</w:t>
      </w:r>
      <w:r w:rsidR="00CA3380" w:rsidRPr="000C57EA">
        <w:t xml:space="preserve"> </w:t>
      </w:r>
      <w:r w:rsidR="001A308D" w:rsidRPr="000C57EA">
        <w:t xml:space="preserve">three </w:t>
      </w:r>
      <w:r w:rsidR="00CA3380" w:rsidRPr="000C57EA">
        <w:t>time periods, i.e., short-term (by 2030)</w:t>
      </w:r>
      <w:r w:rsidR="006029BD" w:rsidRPr="000C57EA">
        <w:t>, medium-term (by 2040)</w:t>
      </w:r>
      <w:r w:rsidR="00E979EB">
        <w:t>,</w:t>
      </w:r>
      <w:r w:rsidR="00CA3380" w:rsidRPr="000C57EA">
        <w:t xml:space="preserve"> and long-term (by 2050). The short-term period includes technologies with a TRL larger than 8 </w:t>
      </w:r>
      <w:r w:rsidR="00F15B21">
        <w:t>that could be</w:t>
      </w:r>
      <w:r w:rsidR="00194937">
        <w:t xml:space="preserve"> deployed</w:t>
      </w:r>
      <w:r w:rsidR="00CA3380" w:rsidRPr="000C57EA">
        <w:t xml:space="preserve"> before 2030; the long-term period includes technologies currently at a TRL of 3 or larger. </w:t>
      </w:r>
      <w:r w:rsidR="00CA3380" w:rsidRPr="00610FED">
        <w:t>The second stage</w:t>
      </w:r>
      <w:r w:rsidR="00CA3380" w:rsidRPr="000C57EA">
        <w:t xml:space="preserve"> </w:t>
      </w:r>
      <w:r w:rsidR="001A308D" w:rsidRPr="000C57EA">
        <w:t xml:space="preserve">is composed of </w:t>
      </w:r>
      <w:r w:rsidR="00CA3380" w:rsidRPr="00610FED">
        <w:t>two steps</w:t>
      </w:r>
      <w:r w:rsidR="00CA3380" w:rsidRPr="000C57EA">
        <w:t xml:space="preserve">: </w:t>
      </w:r>
      <w:r w:rsidR="001A308D" w:rsidRPr="000C57EA">
        <w:t>(i)</w:t>
      </w:r>
      <w:r w:rsidR="00CA3380" w:rsidRPr="000C57EA">
        <w:t xml:space="preserve"> selecting suitable technologies, and</w:t>
      </w:r>
      <w:r w:rsidR="001A308D" w:rsidRPr="000C57EA">
        <w:t xml:space="preserve"> (ii)</w:t>
      </w:r>
      <w:r w:rsidR="00CA3380" w:rsidRPr="000C57EA">
        <w:t xml:space="preserve"> gathering data for case studies based on the complexity level of the refinery. </w:t>
      </w:r>
      <w:r w:rsidR="00194937">
        <w:rPr>
          <w:rStyle w:val="cf01"/>
          <w:rFonts w:ascii="Times New Roman" w:hAnsi="Times New Roman" w:cs="Times New Roman"/>
          <w:sz w:val="20"/>
          <w:szCs w:val="20"/>
        </w:rPr>
        <w:t>F</w:t>
      </w:r>
      <w:r w:rsidR="009F63D5">
        <w:rPr>
          <w:rStyle w:val="cf01"/>
          <w:rFonts w:ascii="Times New Roman" w:hAnsi="Times New Roman" w:cs="Times New Roman"/>
          <w:sz w:val="20"/>
          <w:szCs w:val="20"/>
        </w:rPr>
        <w:t>ive</w:t>
      </w:r>
      <w:r w:rsidR="009F63D5" w:rsidRPr="00610FED">
        <w:rPr>
          <w:rStyle w:val="cf01"/>
          <w:rFonts w:ascii="Times New Roman" w:hAnsi="Times New Roman" w:cs="Times New Roman"/>
          <w:sz w:val="20"/>
          <w:szCs w:val="20"/>
        </w:rPr>
        <w:t xml:space="preserve"> </w:t>
      </w:r>
      <w:r w:rsidR="00AE7E2C" w:rsidRPr="00610FED">
        <w:rPr>
          <w:rStyle w:val="cf01"/>
          <w:rFonts w:ascii="Times New Roman" w:hAnsi="Times New Roman" w:cs="Times New Roman"/>
          <w:sz w:val="20"/>
          <w:szCs w:val="20"/>
        </w:rPr>
        <w:t>technologies were selected for this study and are presented in Table 2</w:t>
      </w:r>
      <w:r w:rsidR="00194937">
        <w:rPr>
          <w:rStyle w:val="cf01"/>
          <w:rFonts w:ascii="Times New Roman" w:hAnsi="Times New Roman" w:cs="Times New Roman"/>
          <w:sz w:val="20"/>
          <w:szCs w:val="20"/>
        </w:rPr>
        <w:t xml:space="preserve"> and </w:t>
      </w:r>
      <w:r w:rsidR="00AE7E2C" w:rsidRPr="00695373">
        <w:rPr>
          <w:rStyle w:val="cf01"/>
          <w:rFonts w:ascii="Times New Roman" w:hAnsi="Times New Roman" w:cs="Times New Roman"/>
          <w:sz w:val="20"/>
          <w:szCs w:val="20"/>
        </w:rPr>
        <w:t xml:space="preserve"> </w:t>
      </w:r>
      <w:r w:rsidR="00AE7E2C" w:rsidRPr="00695373">
        <w:rPr>
          <w:rStyle w:val="cf01"/>
          <w:rFonts w:ascii="Times New Roman" w:hAnsi="Times New Roman" w:cs="Times New Roman"/>
          <w:sz w:val="20"/>
          <w:szCs w:val="20"/>
        </w:rPr>
        <w:fldChar w:fldCharType="begin"/>
      </w:r>
      <w:r w:rsidR="00AE7E2C" w:rsidRPr="00695373">
        <w:rPr>
          <w:rStyle w:val="cf01"/>
          <w:rFonts w:ascii="Times New Roman" w:hAnsi="Times New Roman" w:cs="Times New Roman"/>
          <w:sz w:val="20"/>
          <w:szCs w:val="20"/>
        </w:rPr>
        <w:instrText xml:space="preserve"> REF _Ref149754131 \h  \* MERGEFORMAT </w:instrText>
      </w:r>
      <w:r w:rsidR="00AE7E2C" w:rsidRPr="00695373">
        <w:rPr>
          <w:rStyle w:val="cf01"/>
          <w:rFonts w:ascii="Times New Roman" w:hAnsi="Times New Roman" w:cs="Times New Roman"/>
          <w:sz w:val="20"/>
          <w:szCs w:val="20"/>
        </w:rPr>
      </w:r>
      <w:r w:rsidR="00AE7E2C" w:rsidRPr="00695373">
        <w:rPr>
          <w:rStyle w:val="cf01"/>
          <w:rFonts w:ascii="Times New Roman" w:hAnsi="Times New Roman" w:cs="Times New Roman"/>
          <w:sz w:val="20"/>
          <w:szCs w:val="20"/>
        </w:rPr>
        <w:fldChar w:fldCharType="separate"/>
      </w:r>
      <w:r w:rsidR="00A9524D" w:rsidRPr="00722DF3">
        <w:rPr>
          <w:rStyle w:val="cf01"/>
          <w:rFonts w:ascii="Times New Roman" w:hAnsi="Times New Roman" w:cs="Times New Roman"/>
          <w:sz w:val="20"/>
          <w:szCs w:val="20"/>
        </w:rPr>
        <w:t>Table 3</w:t>
      </w:r>
      <w:r w:rsidR="00AE7E2C" w:rsidRPr="00695373">
        <w:rPr>
          <w:rStyle w:val="cf01"/>
          <w:rFonts w:ascii="Times New Roman" w:hAnsi="Times New Roman" w:cs="Times New Roman"/>
          <w:sz w:val="20"/>
          <w:szCs w:val="20"/>
        </w:rPr>
        <w:fldChar w:fldCharType="end"/>
      </w:r>
      <w:r w:rsidR="00AE7E2C" w:rsidRPr="00695373">
        <w:rPr>
          <w:rStyle w:val="cf01"/>
          <w:rFonts w:ascii="Times New Roman" w:hAnsi="Times New Roman" w:cs="Times New Roman"/>
          <w:sz w:val="20"/>
          <w:szCs w:val="20"/>
        </w:rPr>
        <w:t>.</w:t>
      </w:r>
    </w:p>
    <w:p w14:paraId="59B47E23" w14:textId="286FD81B" w:rsidR="00194937" w:rsidRDefault="00194937" w:rsidP="00194937">
      <w:pPr>
        <w:pStyle w:val="Els-body-text"/>
        <w:spacing w:before="240"/>
      </w:pPr>
      <w:r>
        <w:t xml:space="preserve">In terms of CCS, </w:t>
      </w:r>
      <w:r w:rsidRPr="00F21AF1">
        <w:t xml:space="preserve">post-combustion capture </w:t>
      </w:r>
      <w:r w:rsidR="00F15B21">
        <w:t xml:space="preserve">in flue gas from boilers, furnaces, reformers, and the FCC plant. The capture </w:t>
      </w:r>
      <w:r>
        <w:t xml:space="preserve">was </w:t>
      </w:r>
      <w:r w:rsidR="00F15B21">
        <w:t>done</w:t>
      </w:r>
      <w:r w:rsidR="007D1555">
        <w:t xml:space="preserve"> using MEA 30%wt </w:t>
      </w:r>
      <w:r w:rsidR="00F15B21">
        <w:t xml:space="preserve"> with a</w:t>
      </w:r>
      <w:r w:rsidR="00AF7E3D">
        <w:t xml:space="preserve"> </w:t>
      </w:r>
      <w:r w:rsidRPr="00F21AF1">
        <w:t>90%</w:t>
      </w:r>
      <w:r w:rsidR="005E6D23">
        <w:t xml:space="preserve"> CO</w:t>
      </w:r>
      <w:r w:rsidR="005E6D23" w:rsidRPr="00A02D35">
        <w:rPr>
          <w:vertAlign w:val="subscript"/>
        </w:rPr>
        <w:t>2</w:t>
      </w:r>
      <w:r w:rsidR="005E6D23">
        <w:t xml:space="preserve"> </w:t>
      </w:r>
      <w:r w:rsidR="00F15B21">
        <w:t>c</w:t>
      </w:r>
      <w:r w:rsidR="005E6D23">
        <w:t>apture</w:t>
      </w:r>
      <w:r w:rsidR="00F15B21">
        <w:t xml:space="preserve"> rate </w:t>
      </w:r>
      <w:r w:rsidR="007C0F45">
        <w:t>base</w:t>
      </w:r>
      <w:r w:rsidR="001C557A">
        <w:t>d</w:t>
      </w:r>
      <w:r w:rsidR="007C0F45">
        <w:t xml:space="preserve"> on work </w:t>
      </w:r>
      <w:r w:rsidR="00F15B21">
        <w:t>reported in</w:t>
      </w:r>
      <w:r w:rsidR="007C0F45">
        <w:t xml:space="preserve"> </w:t>
      </w:r>
      <w:r w:rsidR="007C0F45">
        <w:fldChar w:fldCharType="begin" w:fldLock="1"/>
      </w:r>
      <w:r w:rsidR="00766A71">
        <w:instrText>ADDIN CSL_CITATION {"citationItems":[{"id":"ITEM-1","itemData":{"author":[{"dropping-particle":"","family":"IEAGHG","given":"","non-dropping-particle":"","parse-names":false,"suffix":""}],"id":"ITEM-1","issue":"August","issued":{"date-parts":[["2017"]]},"title":"IEAGHG Technical Review August 2017 Understanding the Cost of Retrofitting CO2 capture in an Integrated Oil Refinery","type":"article-journal"},"uris":["http://www.mendeley.com/documents/?uuid=f9f0e783-3b0e-4d45-9fcb-3755a993e241"]}],"mendeley":{"formattedCitation":"(IEAGHG, 2017)","plainTextFormattedCitation":"(IEAGHG, 2017)","previouslyFormattedCitation":"(IEAGHG, 2017)"},"properties":{"noteIndex":0},"schema":"https://github.com/citation-style-language/schema/raw/master/csl-citation.json"}</w:instrText>
      </w:r>
      <w:r w:rsidR="007C0F45">
        <w:fldChar w:fldCharType="separate"/>
      </w:r>
      <w:r w:rsidR="007C0F45" w:rsidRPr="007C0F45">
        <w:rPr>
          <w:noProof/>
        </w:rPr>
        <w:t>(IEAGHG, 2017)</w:t>
      </w:r>
      <w:r w:rsidR="007C0F45">
        <w:fldChar w:fldCharType="end"/>
      </w:r>
      <w:r w:rsidR="00AF7E3D">
        <w:t>.</w:t>
      </w:r>
      <w:r w:rsidR="007D1555">
        <w:t xml:space="preserve"> </w:t>
      </w:r>
      <w:r>
        <w:t>For the SMR unit</w:t>
      </w:r>
      <w:r w:rsidR="00F15B21">
        <w:t>, it</w:t>
      </w:r>
      <w:r>
        <w:t xml:space="preserve"> </w:t>
      </w:r>
      <w:r w:rsidR="009C01E2">
        <w:t>was considered</w:t>
      </w:r>
      <w:r>
        <w:t xml:space="preserve"> a 95%</w:t>
      </w:r>
      <w:r w:rsidR="00AF7E3D">
        <w:t xml:space="preserve"> CO</w:t>
      </w:r>
      <w:r w:rsidR="00AF7E3D" w:rsidRPr="00A02D35">
        <w:rPr>
          <w:vertAlign w:val="subscript"/>
        </w:rPr>
        <w:t>2</w:t>
      </w:r>
      <w:r w:rsidR="00AF7E3D">
        <w:t xml:space="preserve"> capture </w:t>
      </w:r>
      <w:r w:rsidR="00F15B21">
        <w:t xml:space="preserve">rate </w:t>
      </w:r>
      <w:r w:rsidR="00AF7E3D">
        <w:t>using</w:t>
      </w:r>
      <w:r>
        <w:t xml:space="preserve"> ADIP-X solvent</w:t>
      </w:r>
      <w:r w:rsidRPr="005E63D3">
        <w:t xml:space="preserve"> (</w:t>
      </w:r>
      <w:r w:rsidRPr="00565248">
        <w:t xml:space="preserve">45 %wt. MDEA conc. </w:t>
      </w:r>
      <w:r w:rsidR="003F18C5">
        <w:t>a</w:t>
      </w:r>
      <w:r w:rsidRPr="00565248">
        <w:t>nd 5 %wt. Piperazine conc.)</w:t>
      </w:r>
      <w:r>
        <w:t xml:space="preserve"> </w:t>
      </w:r>
      <w:r w:rsidR="00F15B21">
        <w:t xml:space="preserve">in the </w:t>
      </w:r>
      <w:r w:rsidR="003F18C5">
        <w:t>o</w:t>
      </w:r>
      <w:r w:rsidR="003F18C5" w:rsidRPr="003F18C5">
        <w:t>ut</w:t>
      </w:r>
      <w:r w:rsidR="001C557A">
        <w:t>-</w:t>
      </w:r>
      <w:r w:rsidR="003F18C5" w:rsidRPr="003F18C5">
        <w:t xml:space="preserve">stream from </w:t>
      </w:r>
      <w:r w:rsidR="00F15B21">
        <w:t>the water gas shift reactor</w:t>
      </w:r>
      <w:r w:rsidR="003F18C5" w:rsidRPr="003F18C5">
        <w:t xml:space="preserve">(25 </w:t>
      </w:r>
      <w:proofErr w:type="spellStart"/>
      <w:r w:rsidR="003F18C5" w:rsidRPr="003F18C5">
        <w:t>barg</w:t>
      </w:r>
      <w:proofErr w:type="spellEnd"/>
      <w:r w:rsidR="003F18C5" w:rsidRPr="003F18C5">
        <w:t xml:space="preserve"> and 350 C)</w:t>
      </w:r>
      <w:r w:rsidR="003F18C5">
        <w:t xml:space="preserve"> </w:t>
      </w:r>
      <w:r>
        <w:lastRenderedPageBreak/>
        <w:t xml:space="preserve">based on work done by </w:t>
      </w:r>
      <w:r>
        <w:fldChar w:fldCharType="begin" w:fldLock="1"/>
      </w:r>
      <w:r>
        <w:instrText>ADDIN CSL_CITATION {"citationItems":[{"id":"ITEM-1","itemData":{"DOI":"10.1016/j.ijggc.2012.02.018","ISSN":"17505836","abstract":"This study aimed to identify the optimal techno-economic configuration of CO2 capture at steam methane reforming facilities using currently available technologies by means of process simulations. Results indicate that the optimal system is CO2 capture with ADIP-X located between the water-gas shift and pressure swing adsorption units. Process simulations of this system configuration showed a CO2 emission reduction of 60% at 41€/t CO2 avoidance. This is at the lower end of the range reported in open literature for CO2 capture at refineries (26-82€/t CO2) and below the avoidance costs for CO2 capture at natural gas-fired power plants (44-93€/t CO2). CO2 avoidance costs are dominated by the natural gas consumption, responsible for up to 66% of total costs. Using imported steam and electricity can reduce CO2 avoidance costs by 45%. Addition of small amounts of piperazine to aqueous MDEA solutions results in up to 70% smaller absorbers or 10% lower reboiler heat duty. Optimising the whole capture process instead of individual units resulted in lower piperazine concentrations than the common industrial practice (3mass% vs. 5mass%). Finally, keeping the solvent rate constant when operating the capture unit below its design load resulted in a lower specific energy for CO2 capture than when the solvent rate was downscaled with the syngas flow. © 2012 Elsevier Ltd.","author":[{"dropping-particle":"","family":"Meerman","given":"J. C.","non-dropping-particle":"","parse-names":false,"suffix":""},{"dropping-particle":"","family":"Hamborg","given":"E. S.","non-dropping-particle":"","parse-names":false,"suffix":""},{"dropping-particle":"","family":"Keulen","given":"T.","non-dropping-particle":"van","parse-names":false,"suffix":""},{"dropping-particle":"","family":"Ramírez","given":"A.","non-dropping-particle":"","parse-names":false,"suffix":""},{"dropping-particle":"","family":"Turkenburg","given":"W. C.","non-dropping-particle":"","parse-names":false,"suffix":""},{"dropping-particle":"","family":"Faaij","given":"A. P.C.","non-dropping-particle":"","parse-names":false,"suffix":""}],"container-title":"International Journal of Greenhouse Gas Control","id":"ITEM-1","issued":{"date-parts":[["2012"]]},"page":"160-171","publisher":"Elsevier Ltd","title":"Techno-economic assessment of CO2 capture at steam methane reforming facilities using commercially available technology","type":"article-journal","volume":"9"},"uris":["http://www.mendeley.com/documents/?uuid=8e45b298-2236-4dbc-9cb8-6a94d766aa90"]}],"mendeley":{"formattedCitation":"(Meerman et al., 2012)","manualFormatting":"Meerman et al. (2012)","plainTextFormattedCitation":"(Meerman et al., 2012)","previouslyFormattedCitation":"(Meerman et al., 2012)"},"properties":{"noteIndex":0},"schema":"https://github.com/citation-style-language/schema/raw/master/csl-citation.json"}</w:instrText>
      </w:r>
      <w:r>
        <w:fldChar w:fldCharType="separate"/>
      </w:r>
      <w:r w:rsidRPr="00514B76">
        <w:rPr>
          <w:noProof/>
        </w:rPr>
        <w:t xml:space="preserve">Meerman et al. </w:t>
      </w:r>
      <w:r>
        <w:rPr>
          <w:noProof/>
        </w:rPr>
        <w:t>(</w:t>
      </w:r>
      <w:r w:rsidRPr="00514B76">
        <w:rPr>
          <w:noProof/>
        </w:rPr>
        <w:t>2012)</w:t>
      </w:r>
      <w:r>
        <w:fldChar w:fldCharType="end"/>
      </w:r>
      <w:r w:rsidR="00A07125">
        <w:t xml:space="preserve">. </w:t>
      </w:r>
      <w:r w:rsidR="00A07125" w:rsidRPr="00A07125">
        <w:fldChar w:fldCharType="begin"/>
      </w:r>
      <w:r w:rsidR="00A07125" w:rsidRPr="00A07125">
        <w:instrText xml:space="preserve"> REF _Ref154088109 \h </w:instrText>
      </w:r>
      <w:r w:rsidR="00A07125" w:rsidRPr="00A02D35">
        <w:instrText xml:space="preserve"> \* MERGEFORMAT </w:instrText>
      </w:r>
      <w:r w:rsidR="00A07125" w:rsidRPr="00A07125">
        <w:fldChar w:fldCharType="separate"/>
      </w:r>
      <w:r w:rsidR="00A07125" w:rsidRPr="00A07125">
        <w:t>Table</w:t>
      </w:r>
      <w:r w:rsidR="00A07125" w:rsidRPr="00A07125">
        <w:fldChar w:fldCharType="end"/>
      </w:r>
      <w:r w:rsidR="00A07125">
        <w:t xml:space="preserve"> 4 shows the techno</w:t>
      </w:r>
      <w:r w:rsidR="00F15B21">
        <w:t>-economic parameters of the</w:t>
      </w:r>
      <w:r w:rsidR="00A07125">
        <w:t xml:space="preserve"> CO</w:t>
      </w:r>
      <w:r w:rsidR="00A07125" w:rsidRPr="00A02D35">
        <w:rPr>
          <w:vertAlign w:val="subscript"/>
        </w:rPr>
        <w:t>2</w:t>
      </w:r>
      <w:r w:rsidR="00A07125">
        <w:t xml:space="preserve"> capture</w:t>
      </w:r>
      <w:r w:rsidR="00A07125" w:rsidRPr="00A07125">
        <w:t xml:space="preserve"> </w:t>
      </w:r>
      <w:r w:rsidR="00A07125" w:rsidRPr="00273B85">
        <w:t xml:space="preserve">technologies selected. </w:t>
      </w:r>
      <w:r w:rsidR="00A07125">
        <w:t xml:space="preserve"> </w:t>
      </w:r>
    </w:p>
    <w:p w14:paraId="5435F73A" w14:textId="77777777" w:rsidR="00194937" w:rsidRDefault="00194937" w:rsidP="00E515AA">
      <w:pPr>
        <w:pStyle w:val="Els-body-text"/>
        <w:rPr>
          <w:b/>
          <w:bCs/>
          <w:sz w:val="18"/>
          <w:szCs w:val="18"/>
        </w:rPr>
      </w:pPr>
    </w:p>
    <w:p w14:paraId="42EE13E5" w14:textId="3EAADBCC" w:rsidR="00AE7E2C" w:rsidRDefault="00E515AA" w:rsidP="00E515AA">
      <w:pPr>
        <w:pStyle w:val="Els-body-text"/>
      </w:pPr>
      <w:r w:rsidRPr="009848EF">
        <w:rPr>
          <w:b/>
          <w:bCs/>
          <w:sz w:val="18"/>
          <w:szCs w:val="18"/>
        </w:rPr>
        <w:t xml:space="preserve">Table </w:t>
      </w:r>
      <w:r w:rsidRPr="009848EF">
        <w:rPr>
          <w:b/>
          <w:bCs/>
          <w:sz w:val="18"/>
          <w:szCs w:val="18"/>
        </w:rPr>
        <w:fldChar w:fldCharType="begin"/>
      </w:r>
      <w:r w:rsidRPr="009848EF">
        <w:rPr>
          <w:b/>
          <w:bCs/>
          <w:sz w:val="18"/>
          <w:szCs w:val="18"/>
        </w:rPr>
        <w:instrText xml:space="preserve"> SEQ Table \* ARABIC </w:instrText>
      </w:r>
      <w:r w:rsidRPr="009848EF">
        <w:rPr>
          <w:b/>
          <w:bCs/>
          <w:sz w:val="18"/>
          <w:szCs w:val="18"/>
        </w:rPr>
        <w:fldChar w:fldCharType="separate"/>
      </w:r>
      <w:r w:rsidR="00661BF7">
        <w:rPr>
          <w:b/>
          <w:bCs/>
          <w:noProof/>
          <w:sz w:val="18"/>
          <w:szCs w:val="18"/>
        </w:rPr>
        <w:t>2</w:t>
      </w:r>
      <w:r w:rsidRPr="009848EF">
        <w:rPr>
          <w:b/>
          <w:bCs/>
          <w:sz w:val="18"/>
          <w:szCs w:val="18"/>
        </w:rPr>
        <w:fldChar w:fldCharType="end"/>
      </w:r>
      <w:r w:rsidRPr="009848EF">
        <w:rPr>
          <w:b/>
          <w:bCs/>
          <w:sz w:val="18"/>
          <w:szCs w:val="18"/>
        </w:rPr>
        <w:t>.</w:t>
      </w:r>
      <w:r w:rsidRPr="00E515AA">
        <w:rPr>
          <w:sz w:val="18"/>
          <w:szCs w:val="18"/>
        </w:rPr>
        <w:t xml:space="preserve"> Selected low-carbon H</w:t>
      </w:r>
      <w:r w:rsidRPr="00E515AA">
        <w:rPr>
          <w:sz w:val="18"/>
          <w:szCs w:val="18"/>
          <w:vertAlign w:val="subscript"/>
        </w:rPr>
        <w:t>2</w:t>
      </w:r>
      <w:r w:rsidRPr="00E515AA">
        <w:rPr>
          <w:sz w:val="18"/>
          <w:szCs w:val="18"/>
        </w:rPr>
        <w:t xml:space="preserve"> process</w:t>
      </w:r>
    </w:p>
    <w:p w14:paraId="2EF037F4" w14:textId="157EE84F" w:rsidR="005E63D3" w:rsidRPr="00E515AA" w:rsidRDefault="005E63D3" w:rsidP="008A66FB">
      <w:pPr>
        <w:pStyle w:val="Didascalia"/>
        <w:keepLines w:val="0"/>
        <w:spacing w:before="0" w:after="0"/>
        <w:rPr>
          <w:szCs w:val="18"/>
        </w:rPr>
      </w:pPr>
    </w:p>
    <w:tbl>
      <w:tblPr>
        <w:tblStyle w:val="Grigliatabella"/>
        <w:tblpPr w:leftFromText="141" w:rightFromText="141" w:vertAnchor="text" w:horzAnchor="margin" w:tblpY="-17"/>
        <w:tblW w:w="708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843"/>
        <w:gridCol w:w="1276"/>
        <w:gridCol w:w="1417"/>
        <w:gridCol w:w="1560"/>
        <w:gridCol w:w="992"/>
      </w:tblGrid>
      <w:tr w:rsidR="005E63D3" w:rsidRPr="00230EA3" w14:paraId="456C7C89" w14:textId="77777777" w:rsidTr="00A02D35">
        <w:tc>
          <w:tcPr>
            <w:tcW w:w="1843" w:type="dxa"/>
            <w:tcBorders>
              <w:top w:val="single" w:sz="4" w:space="0" w:color="auto"/>
              <w:bottom w:val="single" w:sz="4" w:space="0" w:color="auto"/>
              <w:right w:val="nil"/>
            </w:tcBorders>
          </w:tcPr>
          <w:p w14:paraId="6044D158" w14:textId="6965C754" w:rsidR="005E63D3" w:rsidRDefault="005E63D3" w:rsidP="00E515AA">
            <w:pPr>
              <w:spacing w:line="360" w:lineRule="auto"/>
              <w:rPr>
                <w:rFonts w:ascii="Times New Roman" w:hAnsi="Times New Roman" w:cs="Times New Roman"/>
                <w:b/>
                <w:bCs/>
                <w:sz w:val="14"/>
                <w:szCs w:val="14"/>
              </w:rPr>
            </w:pPr>
          </w:p>
          <w:p w14:paraId="509F4F3A" w14:textId="6C12D30D" w:rsidR="00661BF7" w:rsidRPr="00610FED" w:rsidRDefault="00661BF7" w:rsidP="00E515AA">
            <w:pPr>
              <w:spacing w:line="360" w:lineRule="auto"/>
              <w:rPr>
                <w:rFonts w:ascii="Times New Roman" w:hAnsi="Times New Roman" w:cs="Times New Roman"/>
                <w:b/>
                <w:bCs/>
                <w:sz w:val="14"/>
                <w:szCs w:val="14"/>
              </w:rPr>
            </w:pPr>
          </w:p>
        </w:tc>
        <w:tc>
          <w:tcPr>
            <w:tcW w:w="1276" w:type="dxa"/>
            <w:tcBorders>
              <w:top w:val="single" w:sz="4" w:space="0" w:color="auto"/>
              <w:left w:val="nil"/>
              <w:bottom w:val="single" w:sz="4" w:space="0" w:color="auto"/>
              <w:right w:val="nil"/>
            </w:tcBorders>
          </w:tcPr>
          <w:p w14:paraId="0AAF37C5" w14:textId="77777777" w:rsidR="005E63D3" w:rsidRPr="00610FED" w:rsidRDefault="005E63D3" w:rsidP="009A1FD4">
            <w:pPr>
              <w:spacing w:line="360" w:lineRule="auto"/>
              <w:jc w:val="center"/>
              <w:rPr>
                <w:rFonts w:ascii="Times New Roman" w:hAnsi="Times New Roman" w:cs="Times New Roman"/>
                <w:b/>
                <w:bCs/>
                <w:sz w:val="14"/>
                <w:szCs w:val="14"/>
              </w:rPr>
            </w:pPr>
            <w:r w:rsidRPr="00610FED">
              <w:rPr>
                <w:rFonts w:ascii="Times New Roman" w:hAnsi="Times New Roman" w:cs="Times New Roman"/>
                <w:b/>
                <w:bCs/>
                <w:sz w:val="14"/>
                <w:szCs w:val="14"/>
              </w:rPr>
              <w:t>Technology</w:t>
            </w:r>
          </w:p>
        </w:tc>
        <w:tc>
          <w:tcPr>
            <w:tcW w:w="1417" w:type="dxa"/>
            <w:tcBorders>
              <w:top w:val="single" w:sz="4" w:space="0" w:color="auto"/>
              <w:left w:val="nil"/>
              <w:bottom w:val="single" w:sz="4" w:space="0" w:color="auto"/>
              <w:right w:val="nil"/>
            </w:tcBorders>
          </w:tcPr>
          <w:p w14:paraId="7EFB2FEB" w14:textId="009CCB9E" w:rsidR="005E63D3" w:rsidRPr="00610FED" w:rsidRDefault="005E63D3" w:rsidP="009A1FD4">
            <w:pPr>
              <w:spacing w:line="360" w:lineRule="auto"/>
              <w:jc w:val="center"/>
              <w:rPr>
                <w:rFonts w:ascii="Times New Roman" w:hAnsi="Times New Roman" w:cs="Times New Roman"/>
                <w:b/>
                <w:bCs/>
                <w:sz w:val="14"/>
                <w:szCs w:val="14"/>
              </w:rPr>
            </w:pPr>
            <w:proofErr w:type="spellStart"/>
            <w:r w:rsidRPr="00610FED">
              <w:rPr>
                <w:rFonts w:ascii="Times New Roman" w:hAnsi="Times New Roman" w:cs="Times New Roman"/>
                <w:b/>
                <w:bCs/>
                <w:sz w:val="14"/>
                <w:szCs w:val="14"/>
              </w:rPr>
              <w:t>Produc</w:t>
            </w:r>
            <w:r w:rsidR="00A07125">
              <w:rPr>
                <w:rFonts w:ascii="Times New Roman" w:hAnsi="Times New Roman" w:cs="Times New Roman"/>
                <w:b/>
                <w:bCs/>
                <w:sz w:val="14"/>
                <w:szCs w:val="14"/>
              </w:rPr>
              <w:t>.</w:t>
            </w:r>
            <w:r w:rsidRPr="00610FED">
              <w:rPr>
                <w:rFonts w:ascii="Times New Roman" w:hAnsi="Times New Roman" w:cs="Times New Roman"/>
                <w:b/>
                <w:bCs/>
                <w:sz w:val="14"/>
                <w:szCs w:val="14"/>
              </w:rPr>
              <w:t>sub</w:t>
            </w:r>
            <w:proofErr w:type="spellEnd"/>
            <w:r w:rsidRPr="00610FED">
              <w:rPr>
                <w:rFonts w:ascii="Times New Roman" w:hAnsi="Times New Roman" w:cs="Times New Roman"/>
                <w:b/>
                <w:bCs/>
                <w:sz w:val="14"/>
                <w:szCs w:val="14"/>
              </w:rPr>
              <w:t>-method</w:t>
            </w:r>
          </w:p>
        </w:tc>
        <w:tc>
          <w:tcPr>
            <w:tcW w:w="1560" w:type="dxa"/>
            <w:tcBorders>
              <w:top w:val="single" w:sz="4" w:space="0" w:color="auto"/>
              <w:left w:val="nil"/>
              <w:bottom w:val="single" w:sz="4" w:space="0" w:color="auto"/>
              <w:right w:val="nil"/>
            </w:tcBorders>
          </w:tcPr>
          <w:p w14:paraId="056A42C9" w14:textId="77777777" w:rsidR="005E63D3" w:rsidRPr="00610FED" w:rsidRDefault="005E63D3" w:rsidP="009A1FD4">
            <w:pPr>
              <w:spacing w:line="360" w:lineRule="auto"/>
              <w:jc w:val="center"/>
              <w:rPr>
                <w:rFonts w:ascii="Times New Roman" w:hAnsi="Times New Roman" w:cs="Times New Roman"/>
                <w:b/>
                <w:bCs/>
                <w:sz w:val="14"/>
                <w:szCs w:val="14"/>
              </w:rPr>
            </w:pPr>
            <w:r w:rsidRPr="00610FED">
              <w:rPr>
                <w:rFonts w:ascii="Times New Roman" w:hAnsi="Times New Roman" w:cs="Times New Roman"/>
                <w:b/>
                <w:bCs/>
                <w:sz w:val="14"/>
                <w:szCs w:val="14"/>
              </w:rPr>
              <w:t>Feedstock</w:t>
            </w:r>
          </w:p>
        </w:tc>
        <w:tc>
          <w:tcPr>
            <w:tcW w:w="992" w:type="dxa"/>
            <w:tcBorders>
              <w:top w:val="single" w:sz="4" w:space="0" w:color="auto"/>
              <w:left w:val="nil"/>
              <w:bottom w:val="single" w:sz="4" w:space="0" w:color="auto"/>
              <w:right w:val="nil"/>
            </w:tcBorders>
          </w:tcPr>
          <w:p w14:paraId="5890C899" w14:textId="77777777" w:rsidR="005E63D3" w:rsidRPr="00610FED" w:rsidRDefault="005E63D3" w:rsidP="009A1FD4">
            <w:pPr>
              <w:spacing w:line="360" w:lineRule="auto"/>
              <w:jc w:val="center"/>
              <w:rPr>
                <w:rFonts w:ascii="Times New Roman" w:hAnsi="Times New Roman" w:cs="Times New Roman"/>
                <w:b/>
                <w:bCs/>
                <w:sz w:val="14"/>
                <w:szCs w:val="14"/>
              </w:rPr>
            </w:pPr>
            <w:r w:rsidRPr="00610FED">
              <w:rPr>
                <w:rFonts w:ascii="Times New Roman" w:hAnsi="Times New Roman" w:cs="Times New Roman"/>
                <w:b/>
                <w:bCs/>
                <w:sz w:val="14"/>
                <w:szCs w:val="14"/>
              </w:rPr>
              <w:t>Horizon</w:t>
            </w:r>
          </w:p>
        </w:tc>
      </w:tr>
      <w:tr w:rsidR="005E63D3" w:rsidRPr="00230EA3" w14:paraId="243D04D3" w14:textId="77777777" w:rsidTr="00A02D35">
        <w:tc>
          <w:tcPr>
            <w:tcW w:w="1843" w:type="dxa"/>
            <w:tcBorders>
              <w:top w:val="single" w:sz="4" w:space="0" w:color="auto"/>
              <w:left w:val="nil"/>
              <w:bottom w:val="nil"/>
              <w:right w:val="nil"/>
            </w:tcBorders>
          </w:tcPr>
          <w:p w14:paraId="6DF25D46" w14:textId="1B5E74BC" w:rsidR="005E63D3" w:rsidRPr="00610FED" w:rsidRDefault="005E63D3" w:rsidP="00E515AA">
            <w:pPr>
              <w:rPr>
                <w:rFonts w:ascii="Times New Roman" w:hAnsi="Times New Roman" w:cs="Times New Roman"/>
                <w:sz w:val="14"/>
                <w:szCs w:val="14"/>
              </w:rPr>
            </w:pPr>
            <w:r w:rsidRPr="00610FED">
              <w:rPr>
                <w:rFonts w:ascii="Times New Roman" w:hAnsi="Times New Roman" w:cs="Times New Roman"/>
                <w:sz w:val="14"/>
                <w:szCs w:val="14"/>
              </w:rPr>
              <w:t>SMR+CC</w:t>
            </w:r>
            <w:r w:rsidR="00914092">
              <w:rPr>
                <w:rFonts w:ascii="Times New Roman" w:hAnsi="Times New Roman" w:cs="Times New Roman"/>
                <w:sz w:val="14"/>
                <w:szCs w:val="14"/>
              </w:rPr>
              <w:t xml:space="preserve"> </w:t>
            </w:r>
          </w:p>
        </w:tc>
        <w:tc>
          <w:tcPr>
            <w:tcW w:w="1276" w:type="dxa"/>
            <w:tcBorders>
              <w:top w:val="single" w:sz="4" w:space="0" w:color="auto"/>
              <w:left w:val="nil"/>
              <w:bottom w:val="nil"/>
              <w:right w:val="nil"/>
            </w:tcBorders>
          </w:tcPr>
          <w:p w14:paraId="05F1278A"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Thermochemical</w:t>
            </w:r>
          </w:p>
        </w:tc>
        <w:tc>
          <w:tcPr>
            <w:tcW w:w="1417" w:type="dxa"/>
            <w:tcBorders>
              <w:top w:val="single" w:sz="4" w:space="0" w:color="auto"/>
              <w:left w:val="nil"/>
              <w:bottom w:val="nil"/>
              <w:right w:val="nil"/>
            </w:tcBorders>
          </w:tcPr>
          <w:p w14:paraId="0F869C32"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Steam Reforming</w:t>
            </w:r>
          </w:p>
        </w:tc>
        <w:tc>
          <w:tcPr>
            <w:tcW w:w="1560" w:type="dxa"/>
            <w:tcBorders>
              <w:top w:val="single" w:sz="4" w:space="0" w:color="auto"/>
              <w:left w:val="nil"/>
              <w:bottom w:val="nil"/>
              <w:right w:val="nil"/>
            </w:tcBorders>
          </w:tcPr>
          <w:p w14:paraId="3A22F372" w14:textId="474D03E1"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Natural Gas</w:t>
            </w:r>
          </w:p>
        </w:tc>
        <w:tc>
          <w:tcPr>
            <w:tcW w:w="992" w:type="dxa"/>
            <w:tcBorders>
              <w:top w:val="single" w:sz="4" w:space="0" w:color="auto"/>
              <w:left w:val="nil"/>
              <w:bottom w:val="nil"/>
              <w:right w:val="nil"/>
            </w:tcBorders>
          </w:tcPr>
          <w:p w14:paraId="69E2289D"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Short term</w:t>
            </w:r>
          </w:p>
        </w:tc>
      </w:tr>
      <w:tr w:rsidR="005E63D3" w:rsidRPr="00230EA3" w14:paraId="0497BFD0" w14:textId="77777777" w:rsidTr="00A02D35">
        <w:tc>
          <w:tcPr>
            <w:tcW w:w="1843" w:type="dxa"/>
            <w:tcBorders>
              <w:top w:val="nil"/>
              <w:left w:val="nil"/>
              <w:bottom w:val="nil"/>
              <w:right w:val="nil"/>
            </w:tcBorders>
          </w:tcPr>
          <w:p w14:paraId="53EEDACF" w14:textId="7C79CCD6" w:rsidR="005E63D3" w:rsidRPr="00610FED" w:rsidRDefault="008A66FB" w:rsidP="00806CB3">
            <w:pPr>
              <w:rPr>
                <w:rFonts w:ascii="Times New Roman" w:hAnsi="Times New Roman" w:cs="Times New Roman"/>
                <w:sz w:val="14"/>
                <w:szCs w:val="14"/>
              </w:rPr>
            </w:pPr>
            <w:r w:rsidRPr="00610FED">
              <w:rPr>
                <w:rFonts w:ascii="Times New Roman" w:hAnsi="Times New Roman" w:cs="Times New Roman"/>
                <w:sz w:val="14"/>
                <w:szCs w:val="14"/>
              </w:rPr>
              <w:t>Ren Elec</w:t>
            </w:r>
            <w:r w:rsidR="00AE7E2C">
              <w:rPr>
                <w:rFonts w:ascii="Times New Roman" w:hAnsi="Times New Roman" w:cs="Times New Roman"/>
                <w:sz w:val="14"/>
                <w:szCs w:val="14"/>
              </w:rPr>
              <w:t xml:space="preserve"> </w:t>
            </w:r>
            <w:r w:rsidR="005E63D3" w:rsidRPr="00610FED">
              <w:rPr>
                <w:rFonts w:ascii="Times New Roman" w:hAnsi="Times New Roman" w:cs="Times New Roman"/>
                <w:sz w:val="14"/>
                <w:szCs w:val="14"/>
              </w:rPr>
              <w:t>+</w:t>
            </w:r>
            <w:r w:rsidR="00806CB3">
              <w:rPr>
                <w:rFonts w:ascii="Times New Roman" w:hAnsi="Times New Roman" w:cs="Times New Roman"/>
                <w:sz w:val="14"/>
                <w:szCs w:val="14"/>
              </w:rPr>
              <w:t xml:space="preserve"> PEM </w:t>
            </w:r>
            <w:r w:rsidR="005E63D3" w:rsidRPr="00610FED">
              <w:rPr>
                <w:rFonts w:ascii="Times New Roman" w:hAnsi="Times New Roman" w:cs="Times New Roman"/>
                <w:sz w:val="14"/>
                <w:szCs w:val="14"/>
              </w:rPr>
              <w:t>El</w:t>
            </w:r>
            <w:r>
              <w:rPr>
                <w:rFonts w:ascii="Times New Roman" w:hAnsi="Times New Roman" w:cs="Times New Roman"/>
                <w:sz w:val="14"/>
                <w:szCs w:val="14"/>
              </w:rPr>
              <w:t>.</w:t>
            </w:r>
          </w:p>
        </w:tc>
        <w:tc>
          <w:tcPr>
            <w:tcW w:w="1276" w:type="dxa"/>
            <w:tcBorders>
              <w:top w:val="nil"/>
              <w:left w:val="nil"/>
              <w:bottom w:val="nil"/>
              <w:right w:val="nil"/>
            </w:tcBorders>
          </w:tcPr>
          <w:p w14:paraId="0D4D0DF8"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Electrolysis</w:t>
            </w:r>
          </w:p>
        </w:tc>
        <w:tc>
          <w:tcPr>
            <w:tcW w:w="1417" w:type="dxa"/>
            <w:tcBorders>
              <w:top w:val="nil"/>
              <w:left w:val="nil"/>
              <w:bottom w:val="nil"/>
              <w:right w:val="nil"/>
            </w:tcBorders>
          </w:tcPr>
          <w:p w14:paraId="601DA39B"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PEM electrolysis</w:t>
            </w:r>
          </w:p>
        </w:tc>
        <w:tc>
          <w:tcPr>
            <w:tcW w:w="1560" w:type="dxa"/>
            <w:tcBorders>
              <w:top w:val="nil"/>
              <w:left w:val="nil"/>
              <w:bottom w:val="nil"/>
              <w:right w:val="nil"/>
            </w:tcBorders>
          </w:tcPr>
          <w:p w14:paraId="6C1A5A35" w14:textId="67B42374"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 xml:space="preserve">Water + Ren.  </w:t>
            </w:r>
            <w:proofErr w:type="spellStart"/>
            <w:r w:rsidRPr="00610FED">
              <w:rPr>
                <w:rFonts w:ascii="Times New Roman" w:hAnsi="Times New Roman" w:cs="Times New Roman"/>
                <w:sz w:val="14"/>
                <w:szCs w:val="14"/>
              </w:rPr>
              <w:t>elec</w:t>
            </w:r>
            <w:proofErr w:type="spellEnd"/>
          </w:p>
        </w:tc>
        <w:tc>
          <w:tcPr>
            <w:tcW w:w="992" w:type="dxa"/>
            <w:tcBorders>
              <w:top w:val="nil"/>
              <w:left w:val="nil"/>
              <w:bottom w:val="nil"/>
              <w:right w:val="nil"/>
            </w:tcBorders>
          </w:tcPr>
          <w:p w14:paraId="4A03887B"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Short term</w:t>
            </w:r>
          </w:p>
        </w:tc>
      </w:tr>
      <w:tr w:rsidR="005E63D3" w:rsidRPr="00230EA3" w14:paraId="703744D7" w14:textId="77777777" w:rsidTr="00A02D35">
        <w:tc>
          <w:tcPr>
            <w:tcW w:w="1843" w:type="dxa"/>
            <w:tcBorders>
              <w:top w:val="nil"/>
              <w:left w:val="nil"/>
              <w:bottom w:val="nil"/>
              <w:right w:val="nil"/>
            </w:tcBorders>
          </w:tcPr>
          <w:p w14:paraId="4CA63BF8" w14:textId="04C100C5" w:rsidR="005E63D3" w:rsidRPr="00610FED" w:rsidRDefault="005E63D3" w:rsidP="00E515AA">
            <w:pPr>
              <w:rPr>
                <w:rFonts w:ascii="Times New Roman" w:hAnsi="Times New Roman" w:cs="Times New Roman"/>
                <w:sz w:val="14"/>
                <w:szCs w:val="14"/>
              </w:rPr>
            </w:pPr>
            <w:r w:rsidRPr="00610FED">
              <w:rPr>
                <w:rFonts w:ascii="Times New Roman" w:hAnsi="Times New Roman" w:cs="Times New Roman"/>
                <w:sz w:val="14"/>
                <w:szCs w:val="14"/>
              </w:rPr>
              <w:t>Biomass Elec</w:t>
            </w:r>
            <w:r w:rsidR="00AE7E2C">
              <w:rPr>
                <w:rFonts w:ascii="Times New Roman" w:hAnsi="Times New Roman" w:cs="Times New Roman"/>
                <w:sz w:val="14"/>
                <w:szCs w:val="14"/>
              </w:rPr>
              <w:t xml:space="preserve"> +</w:t>
            </w:r>
            <w:r w:rsidRPr="00610FED">
              <w:rPr>
                <w:rFonts w:ascii="Times New Roman" w:hAnsi="Times New Roman" w:cs="Times New Roman"/>
                <w:sz w:val="14"/>
                <w:szCs w:val="14"/>
              </w:rPr>
              <w:t xml:space="preserve"> </w:t>
            </w:r>
            <w:r w:rsidR="00806CB3">
              <w:rPr>
                <w:rFonts w:ascii="Times New Roman" w:hAnsi="Times New Roman" w:cs="Times New Roman"/>
                <w:sz w:val="14"/>
                <w:szCs w:val="14"/>
              </w:rPr>
              <w:t xml:space="preserve">PEM </w:t>
            </w:r>
            <w:r w:rsidRPr="00610FED">
              <w:rPr>
                <w:rFonts w:ascii="Times New Roman" w:hAnsi="Times New Roman" w:cs="Times New Roman"/>
                <w:sz w:val="14"/>
                <w:szCs w:val="14"/>
              </w:rPr>
              <w:t>El</w:t>
            </w:r>
            <w:r w:rsidR="008A66FB">
              <w:rPr>
                <w:rFonts w:ascii="Times New Roman" w:hAnsi="Times New Roman" w:cs="Times New Roman"/>
                <w:sz w:val="14"/>
                <w:szCs w:val="14"/>
              </w:rPr>
              <w:t>.</w:t>
            </w:r>
          </w:p>
        </w:tc>
        <w:tc>
          <w:tcPr>
            <w:tcW w:w="1276" w:type="dxa"/>
            <w:tcBorders>
              <w:top w:val="nil"/>
              <w:left w:val="nil"/>
              <w:bottom w:val="nil"/>
              <w:right w:val="nil"/>
            </w:tcBorders>
          </w:tcPr>
          <w:p w14:paraId="205775C8"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Electrolysis</w:t>
            </w:r>
          </w:p>
        </w:tc>
        <w:tc>
          <w:tcPr>
            <w:tcW w:w="1417" w:type="dxa"/>
            <w:tcBorders>
              <w:top w:val="nil"/>
              <w:left w:val="nil"/>
              <w:bottom w:val="nil"/>
              <w:right w:val="nil"/>
            </w:tcBorders>
          </w:tcPr>
          <w:p w14:paraId="564E4795"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PEM electrolysis</w:t>
            </w:r>
          </w:p>
        </w:tc>
        <w:tc>
          <w:tcPr>
            <w:tcW w:w="1560" w:type="dxa"/>
            <w:tcBorders>
              <w:top w:val="nil"/>
              <w:left w:val="nil"/>
              <w:bottom w:val="nil"/>
              <w:right w:val="nil"/>
            </w:tcBorders>
          </w:tcPr>
          <w:p w14:paraId="141CF560"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Water + Biomass</w:t>
            </w:r>
          </w:p>
        </w:tc>
        <w:tc>
          <w:tcPr>
            <w:tcW w:w="992" w:type="dxa"/>
            <w:tcBorders>
              <w:top w:val="nil"/>
              <w:left w:val="nil"/>
              <w:bottom w:val="nil"/>
              <w:right w:val="nil"/>
            </w:tcBorders>
          </w:tcPr>
          <w:p w14:paraId="35FE19F9"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Short term</w:t>
            </w:r>
          </w:p>
        </w:tc>
      </w:tr>
      <w:tr w:rsidR="005E63D3" w:rsidRPr="00230EA3" w14:paraId="0B21821A" w14:textId="77777777" w:rsidTr="00A02D35">
        <w:tc>
          <w:tcPr>
            <w:tcW w:w="1843" w:type="dxa"/>
            <w:tcBorders>
              <w:top w:val="nil"/>
              <w:left w:val="nil"/>
              <w:bottom w:val="nil"/>
              <w:right w:val="nil"/>
            </w:tcBorders>
          </w:tcPr>
          <w:p w14:paraId="1358CEB7" w14:textId="7B47410E" w:rsidR="005E63D3" w:rsidRPr="00610FED" w:rsidRDefault="005E63D3" w:rsidP="00E515AA">
            <w:pPr>
              <w:rPr>
                <w:rFonts w:ascii="Times New Roman" w:hAnsi="Times New Roman" w:cs="Times New Roman"/>
                <w:sz w:val="14"/>
                <w:szCs w:val="14"/>
              </w:rPr>
            </w:pPr>
            <w:r w:rsidRPr="00610FED">
              <w:rPr>
                <w:rFonts w:ascii="Times New Roman" w:hAnsi="Times New Roman" w:cs="Times New Roman"/>
                <w:sz w:val="14"/>
                <w:szCs w:val="14"/>
              </w:rPr>
              <w:t xml:space="preserve">Biomass </w:t>
            </w:r>
            <w:proofErr w:type="spellStart"/>
            <w:r w:rsidRPr="00610FED">
              <w:rPr>
                <w:rFonts w:ascii="Times New Roman" w:hAnsi="Times New Roman" w:cs="Times New Roman"/>
                <w:sz w:val="14"/>
                <w:szCs w:val="14"/>
              </w:rPr>
              <w:t>gasif</w:t>
            </w:r>
            <w:proofErr w:type="spellEnd"/>
            <w:r w:rsidR="00806CB3">
              <w:rPr>
                <w:rFonts w:ascii="Times New Roman" w:hAnsi="Times New Roman" w:cs="Times New Roman"/>
                <w:sz w:val="14"/>
                <w:szCs w:val="14"/>
              </w:rPr>
              <w:t>.</w:t>
            </w:r>
            <w:r w:rsidR="00AE7E2C">
              <w:rPr>
                <w:rFonts w:ascii="Times New Roman" w:hAnsi="Times New Roman" w:cs="Times New Roman"/>
                <w:sz w:val="14"/>
                <w:szCs w:val="14"/>
              </w:rPr>
              <w:t xml:space="preserve"> </w:t>
            </w:r>
            <w:r w:rsidRPr="00610FED">
              <w:rPr>
                <w:rFonts w:ascii="Times New Roman" w:hAnsi="Times New Roman" w:cs="Times New Roman"/>
                <w:sz w:val="14"/>
                <w:szCs w:val="14"/>
              </w:rPr>
              <w:t>+</w:t>
            </w:r>
            <w:r w:rsidR="00AE7E2C">
              <w:rPr>
                <w:rFonts w:ascii="Times New Roman" w:hAnsi="Times New Roman" w:cs="Times New Roman"/>
                <w:sz w:val="14"/>
                <w:szCs w:val="14"/>
              </w:rPr>
              <w:t xml:space="preserve"> </w:t>
            </w:r>
            <w:r w:rsidRPr="00610FED">
              <w:rPr>
                <w:rFonts w:ascii="Times New Roman" w:hAnsi="Times New Roman" w:cs="Times New Roman"/>
                <w:sz w:val="14"/>
                <w:szCs w:val="14"/>
              </w:rPr>
              <w:t>CC</w:t>
            </w:r>
            <w:r w:rsidR="008A66FB">
              <w:rPr>
                <w:rFonts w:ascii="Times New Roman" w:hAnsi="Times New Roman" w:cs="Times New Roman"/>
                <w:sz w:val="14"/>
                <w:szCs w:val="14"/>
              </w:rPr>
              <w:t>.</w:t>
            </w:r>
          </w:p>
        </w:tc>
        <w:tc>
          <w:tcPr>
            <w:tcW w:w="1276" w:type="dxa"/>
            <w:tcBorders>
              <w:top w:val="nil"/>
              <w:left w:val="nil"/>
              <w:bottom w:val="nil"/>
              <w:right w:val="nil"/>
            </w:tcBorders>
          </w:tcPr>
          <w:p w14:paraId="50FEF774"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Thermochemical</w:t>
            </w:r>
          </w:p>
        </w:tc>
        <w:tc>
          <w:tcPr>
            <w:tcW w:w="1417" w:type="dxa"/>
            <w:tcBorders>
              <w:top w:val="nil"/>
              <w:left w:val="nil"/>
              <w:bottom w:val="nil"/>
              <w:right w:val="nil"/>
            </w:tcBorders>
          </w:tcPr>
          <w:p w14:paraId="60680716"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Gasification</w:t>
            </w:r>
          </w:p>
        </w:tc>
        <w:tc>
          <w:tcPr>
            <w:tcW w:w="1560" w:type="dxa"/>
            <w:tcBorders>
              <w:top w:val="nil"/>
              <w:left w:val="nil"/>
              <w:bottom w:val="nil"/>
              <w:right w:val="nil"/>
            </w:tcBorders>
          </w:tcPr>
          <w:p w14:paraId="11E4D10E"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Biomass</w:t>
            </w:r>
          </w:p>
        </w:tc>
        <w:tc>
          <w:tcPr>
            <w:tcW w:w="992" w:type="dxa"/>
            <w:tcBorders>
              <w:top w:val="nil"/>
              <w:left w:val="nil"/>
              <w:bottom w:val="nil"/>
              <w:right w:val="nil"/>
            </w:tcBorders>
          </w:tcPr>
          <w:p w14:paraId="1234B572"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Long term</w:t>
            </w:r>
          </w:p>
        </w:tc>
      </w:tr>
      <w:tr w:rsidR="005E63D3" w:rsidRPr="00230EA3" w14:paraId="5528AF72" w14:textId="77777777" w:rsidTr="00A02D35">
        <w:tc>
          <w:tcPr>
            <w:tcW w:w="1843" w:type="dxa"/>
            <w:tcBorders>
              <w:top w:val="nil"/>
              <w:left w:val="nil"/>
              <w:bottom w:val="single" w:sz="4" w:space="0" w:color="auto"/>
              <w:right w:val="nil"/>
            </w:tcBorders>
          </w:tcPr>
          <w:p w14:paraId="1F88CEF4" w14:textId="65311C92" w:rsidR="005E63D3" w:rsidRPr="00610FED" w:rsidRDefault="005E63D3" w:rsidP="00E515AA">
            <w:pPr>
              <w:rPr>
                <w:rFonts w:ascii="Times New Roman" w:hAnsi="Times New Roman" w:cs="Times New Roman"/>
                <w:sz w:val="14"/>
                <w:szCs w:val="14"/>
              </w:rPr>
            </w:pPr>
            <w:r w:rsidRPr="00610FED">
              <w:rPr>
                <w:rFonts w:ascii="Times New Roman" w:hAnsi="Times New Roman" w:cs="Times New Roman"/>
                <w:sz w:val="14"/>
                <w:szCs w:val="14"/>
              </w:rPr>
              <w:t>Naphtha Reforming + CC</w:t>
            </w:r>
            <w:r w:rsidR="008A66FB">
              <w:rPr>
                <w:rFonts w:ascii="Times New Roman" w:hAnsi="Times New Roman" w:cs="Times New Roman"/>
                <w:sz w:val="14"/>
                <w:szCs w:val="14"/>
              </w:rPr>
              <w:t>.</w:t>
            </w:r>
          </w:p>
        </w:tc>
        <w:tc>
          <w:tcPr>
            <w:tcW w:w="1276" w:type="dxa"/>
            <w:tcBorders>
              <w:top w:val="nil"/>
              <w:left w:val="nil"/>
              <w:bottom w:val="single" w:sz="4" w:space="0" w:color="auto"/>
              <w:right w:val="nil"/>
            </w:tcBorders>
          </w:tcPr>
          <w:p w14:paraId="5E782042"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Thermochemical</w:t>
            </w:r>
          </w:p>
        </w:tc>
        <w:tc>
          <w:tcPr>
            <w:tcW w:w="1417" w:type="dxa"/>
            <w:tcBorders>
              <w:top w:val="nil"/>
              <w:left w:val="nil"/>
              <w:bottom w:val="single" w:sz="4" w:space="0" w:color="auto"/>
              <w:right w:val="nil"/>
            </w:tcBorders>
          </w:tcPr>
          <w:p w14:paraId="417A77F7"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Steam Reforming</w:t>
            </w:r>
          </w:p>
        </w:tc>
        <w:tc>
          <w:tcPr>
            <w:tcW w:w="1560" w:type="dxa"/>
            <w:tcBorders>
              <w:top w:val="nil"/>
              <w:left w:val="nil"/>
              <w:bottom w:val="single" w:sz="4" w:space="0" w:color="auto"/>
              <w:right w:val="nil"/>
            </w:tcBorders>
          </w:tcPr>
          <w:p w14:paraId="12591F77" w14:textId="65C25075" w:rsidR="005E63D3" w:rsidRPr="00610FED" w:rsidRDefault="001C557A" w:rsidP="009A1FD4">
            <w:pPr>
              <w:jc w:val="center"/>
              <w:rPr>
                <w:rFonts w:ascii="Times New Roman" w:hAnsi="Times New Roman" w:cs="Times New Roman"/>
                <w:sz w:val="14"/>
                <w:szCs w:val="14"/>
              </w:rPr>
            </w:pPr>
            <w:r w:rsidRPr="00610FED">
              <w:rPr>
                <w:rFonts w:ascii="Times New Roman" w:hAnsi="Times New Roman" w:cs="Times New Roman"/>
                <w:sz w:val="14"/>
                <w:szCs w:val="14"/>
              </w:rPr>
              <w:t>Low</w:t>
            </w:r>
            <w:r>
              <w:rPr>
                <w:rFonts w:ascii="Times New Roman" w:hAnsi="Times New Roman" w:cs="Times New Roman"/>
                <w:sz w:val="14"/>
                <w:szCs w:val="14"/>
              </w:rPr>
              <w:t>-</w:t>
            </w:r>
            <w:r w:rsidR="005E63D3" w:rsidRPr="00610FED">
              <w:rPr>
                <w:rFonts w:ascii="Times New Roman" w:hAnsi="Times New Roman" w:cs="Times New Roman"/>
                <w:sz w:val="14"/>
                <w:szCs w:val="14"/>
              </w:rPr>
              <w:t xml:space="preserve">grade </w:t>
            </w:r>
            <w:r w:rsidR="008A66FB" w:rsidRPr="00610FED">
              <w:rPr>
                <w:rFonts w:ascii="Times New Roman" w:hAnsi="Times New Roman" w:cs="Times New Roman"/>
                <w:sz w:val="14"/>
                <w:szCs w:val="14"/>
              </w:rPr>
              <w:t>Naphtha</w:t>
            </w:r>
          </w:p>
        </w:tc>
        <w:tc>
          <w:tcPr>
            <w:tcW w:w="992" w:type="dxa"/>
            <w:tcBorders>
              <w:top w:val="nil"/>
              <w:left w:val="nil"/>
              <w:bottom w:val="single" w:sz="4" w:space="0" w:color="auto"/>
              <w:right w:val="nil"/>
            </w:tcBorders>
          </w:tcPr>
          <w:p w14:paraId="0018DED1" w14:textId="77777777" w:rsidR="005E63D3" w:rsidRPr="00610FED" w:rsidRDefault="005E63D3" w:rsidP="009A1FD4">
            <w:pPr>
              <w:jc w:val="center"/>
              <w:rPr>
                <w:rFonts w:ascii="Times New Roman" w:hAnsi="Times New Roman" w:cs="Times New Roman"/>
                <w:sz w:val="14"/>
                <w:szCs w:val="14"/>
              </w:rPr>
            </w:pPr>
            <w:r w:rsidRPr="00610FED">
              <w:rPr>
                <w:rFonts w:ascii="Times New Roman" w:hAnsi="Times New Roman" w:cs="Times New Roman"/>
                <w:sz w:val="14"/>
                <w:szCs w:val="14"/>
              </w:rPr>
              <w:t>Long term</w:t>
            </w:r>
          </w:p>
        </w:tc>
      </w:tr>
    </w:tbl>
    <w:p w14:paraId="41FF9CD6" w14:textId="5396456E" w:rsidR="00661BF7" w:rsidRPr="00A02D35" w:rsidRDefault="00661BF7" w:rsidP="008A66FB">
      <w:pPr>
        <w:pStyle w:val="Didascalia"/>
        <w:keepLines w:val="0"/>
        <w:spacing w:before="0" w:after="0"/>
        <w:rPr>
          <w:szCs w:val="18"/>
        </w:rPr>
      </w:pPr>
      <w:bookmarkStart w:id="4" w:name="_Ref149754131"/>
      <w:r w:rsidRPr="008A66FB">
        <w:rPr>
          <w:b/>
          <w:bCs/>
          <w:szCs w:val="18"/>
        </w:rPr>
        <w:t xml:space="preserve">Table </w:t>
      </w:r>
      <w:r w:rsidRPr="008A66FB">
        <w:rPr>
          <w:b/>
          <w:bCs/>
          <w:szCs w:val="18"/>
        </w:rPr>
        <w:fldChar w:fldCharType="begin"/>
      </w:r>
      <w:r w:rsidRPr="008A66FB">
        <w:rPr>
          <w:b/>
          <w:bCs/>
          <w:szCs w:val="18"/>
        </w:rPr>
        <w:instrText xml:space="preserve"> SEQ Table \* ARABIC </w:instrText>
      </w:r>
      <w:r w:rsidRPr="008A66FB">
        <w:rPr>
          <w:b/>
          <w:bCs/>
          <w:szCs w:val="18"/>
        </w:rPr>
        <w:fldChar w:fldCharType="separate"/>
      </w:r>
      <w:r>
        <w:rPr>
          <w:b/>
          <w:bCs/>
          <w:noProof/>
          <w:szCs w:val="18"/>
        </w:rPr>
        <w:t>3</w:t>
      </w:r>
      <w:r w:rsidRPr="008A66FB">
        <w:rPr>
          <w:b/>
          <w:bCs/>
          <w:szCs w:val="18"/>
        </w:rPr>
        <w:fldChar w:fldCharType="end"/>
      </w:r>
      <w:r>
        <w:rPr>
          <w:b/>
          <w:bCs/>
          <w:szCs w:val="18"/>
        </w:rPr>
        <w:t xml:space="preserve">. </w:t>
      </w:r>
      <w:r w:rsidRPr="00661BF7">
        <w:rPr>
          <w:szCs w:val="18"/>
        </w:rPr>
        <w:t xml:space="preserve">General techno-economic parameters </w:t>
      </w:r>
      <w:r>
        <w:rPr>
          <w:szCs w:val="18"/>
        </w:rPr>
        <w:t>of low-carbon H</w:t>
      </w:r>
      <w:r w:rsidRPr="00A02D35">
        <w:rPr>
          <w:szCs w:val="18"/>
          <w:vertAlign w:val="subscript"/>
        </w:rPr>
        <w:t>2</w:t>
      </w:r>
      <w:r>
        <w:rPr>
          <w:szCs w:val="18"/>
        </w:rPr>
        <w:t xml:space="preserve"> technologies</w:t>
      </w:r>
      <w:r w:rsidRPr="00661BF7">
        <w:rPr>
          <w:szCs w:val="18"/>
        </w:rPr>
        <w:t>.</w:t>
      </w:r>
    </w:p>
    <w:tbl>
      <w:tblPr>
        <w:tblStyle w:val="Grigliatabella"/>
        <w:tblpPr w:leftFromText="141" w:rightFromText="141" w:vertAnchor="text" w:horzAnchor="margin" w:tblpY="4"/>
        <w:tblW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1134"/>
        <w:gridCol w:w="992"/>
        <w:gridCol w:w="1276"/>
        <w:gridCol w:w="1134"/>
        <w:gridCol w:w="1134"/>
      </w:tblGrid>
      <w:tr w:rsidR="00806CB3" w:rsidRPr="00230EA3" w14:paraId="79678B63" w14:textId="77777777" w:rsidTr="00A02D35">
        <w:trPr>
          <w:trHeight w:val="133"/>
        </w:trPr>
        <w:tc>
          <w:tcPr>
            <w:tcW w:w="1838" w:type="dxa"/>
            <w:tcBorders>
              <w:top w:val="single" w:sz="4" w:space="0" w:color="auto"/>
              <w:bottom w:val="single" w:sz="4" w:space="0" w:color="auto"/>
            </w:tcBorders>
          </w:tcPr>
          <w:p w14:paraId="06FBFAF8" w14:textId="77777777" w:rsidR="006A46BF" w:rsidRPr="001C557A" w:rsidRDefault="006A46BF" w:rsidP="006A46BF">
            <w:pPr>
              <w:spacing w:line="360" w:lineRule="auto"/>
              <w:rPr>
                <w:rFonts w:ascii="Times New Roman" w:hAnsi="Times New Roman" w:cs="Times New Roman"/>
                <w:b/>
                <w:bCs/>
                <w:sz w:val="14"/>
                <w:szCs w:val="14"/>
              </w:rPr>
            </w:pPr>
          </w:p>
        </w:tc>
        <w:tc>
          <w:tcPr>
            <w:tcW w:w="1134" w:type="dxa"/>
            <w:tcBorders>
              <w:top w:val="single" w:sz="4" w:space="0" w:color="auto"/>
              <w:bottom w:val="single" w:sz="4" w:space="0" w:color="auto"/>
            </w:tcBorders>
          </w:tcPr>
          <w:p w14:paraId="0BD7AFCC" w14:textId="77777777" w:rsidR="006A46BF" w:rsidRPr="001C557A" w:rsidRDefault="006A46BF" w:rsidP="006A46BF">
            <w:pPr>
              <w:spacing w:line="360" w:lineRule="auto"/>
              <w:jc w:val="center"/>
              <w:rPr>
                <w:rFonts w:ascii="Times New Roman" w:hAnsi="Times New Roman" w:cs="Times New Roman"/>
                <w:b/>
                <w:bCs/>
                <w:sz w:val="12"/>
                <w:szCs w:val="12"/>
              </w:rPr>
            </w:pPr>
            <w:r w:rsidRPr="001C557A">
              <w:rPr>
                <w:b/>
                <w:bCs/>
                <w:sz w:val="12"/>
                <w:szCs w:val="12"/>
              </w:rPr>
              <w:t>SMR</w:t>
            </w:r>
          </w:p>
        </w:tc>
        <w:tc>
          <w:tcPr>
            <w:tcW w:w="992" w:type="dxa"/>
            <w:tcBorders>
              <w:top w:val="single" w:sz="4" w:space="0" w:color="auto"/>
              <w:bottom w:val="single" w:sz="4" w:space="0" w:color="auto"/>
            </w:tcBorders>
          </w:tcPr>
          <w:p w14:paraId="6C7FE552" w14:textId="77777777" w:rsidR="006A46BF" w:rsidRPr="001C557A" w:rsidRDefault="006A46BF" w:rsidP="006A46BF">
            <w:pPr>
              <w:spacing w:line="360" w:lineRule="auto"/>
              <w:jc w:val="center"/>
              <w:rPr>
                <w:rFonts w:ascii="Times New Roman" w:hAnsi="Times New Roman" w:cs="Times New Roman"/>
                <w:b/>
                <w:bCs/>
                <w:sz w:val="12"/>
                <w:szCs w:val="12"/>
              </w:rPr>
            </w:pPr>
            <w:r w:rsidRPr="001C557A">
              <w:rPr>
                <w:b/>
                <w:bCs/>
                <w:sz w:val="12"/>
                <w:szCs w:val="12"/>
              </w:rPr>
              <w:t>PEM El.</w:t>
            </w:r>
          </w:p>
        </w:tc>
        <w:tc>
          <w:tcPr>
            <w:tcW w:w="1276" w:type="dxa"/>
            <w:tcBorders>
              <w:top w:val="single" w:sz="4" w:space="0" w:color="auto"/>
              <w:bottom w:val="single" w:sz="4" w:space="0" w:color="auto"/>
            </w:tcBorders>
          </w:tcPr>
          <w:p w14:paraId="018D6E2F" w14:textId="77777777" w:rsidR="006A46BF" w:rsidRPr="001C557A" w:rsidRDefault="006A46BF" w:rsidP="006A46BF">
            <w:pPr>
              <w:spacing w:line="360" w:lineRule="auto"/>
              <w:jc w:val="center"/>
              <w:rPr>
                <w:rFonts w:ascii="Times New Roman" w:hAnsi="Times New Roman" w:cs="Times New Roman"/>
                <w:b/>
                <w:bCs/>
                <w:sz w:val="12"/>
                <w:szCs w:val="12"/>
              </w:rPr>
            </w:pPr>
            <w:r w:rsidRPr="001C557A">
              <w:rPr>
                <w:b/>
                <w:bCs/>
                <w:sz w:val="12"/>
                <w:szCs w:val="12"/>
              </w:rPr>
              <w:t xml:space="preserve">Biomass Elec </w:t>
            </w:r>
          </w:p>
        </w:tc>
        <w:tc>
          <w:tcPr>
            <w:tcW w:w="1134" w:type="dxa"/>
            <w:tcBorders>
              <w:top w:val="single" w:sz="4" w:space="0" w:color="auto"/>
              <w:bottom w:val="single" w:sz="4" w:space="0" w:color="auto"/>
            </w:tcBorders>
          </w:tcPr>
          <w:p w14:paraId="29C8AA10" w14:textId="77777777" w:rsidR="006A46BF" w:rsidRPr="001C557A" w:rsidRDefault="006A46BF" w:rsidP="006A46BF">
            <w:pPr>
              <w:spacing w:line="360" w:lineRule="auto"/>
              <w:jc w:val="center"/>
              <w:rPr>
                <w:rFonts w:ascii="Times New Roman" w:hAnsi="Times New Roman" w:cs="Times New Roman"/>
                <w:b/>
                <w:bCs/>
                <w:sz w:val="12"/>
                <w:szCs w:val="12"/>
              </w:rPr>
            </w:pPr>
            <w:r w:rsidRPr="001C557A">
              <w:rPr>
                <w:b/>
                <w:bCs/>
                <w:sz w:val="12"/>
                <w:szCs w:val="12"/>
              </w:rPr>
              <w:t xml:space="preserve">Biomass </w:t>
            </w:r>
            <w:proofErr w:type="spellStart"/>
            <w:r w:rsidRPr="001C557A">
              <w:rPr>
                <w:b/>
                <w:bCs/>
                <w:sz w:val="12"/>
                <w:szCs w:val="12"/>
              </w:rPr>
              <w:t>gasif</w:t>
            </w:r>
            <w:proofErr w:type="spellEnd"/>
            <w:r w:rsidRPr="001C557A">
              <w:rPr>
                <w:b/>
                <w:bCs/>
                <w:sz w:val="12"/>
                <w:szCs w:val="12"/>
              </w:rPr>
              <w:t>.</w:t>
            </w:r>
          </w:p>
        </w:tc>
        <w:tc>
          <w:tcPr>
            <w:tcW w:w="1134" w:type="dxa"/>
            <w:tcBorders>
              <w:top w:val="single" w:sz="4" w:space="0" w:color="auto"/>
              <w:bottom w:val="single" w:sz="4" w:space="0" w:color="auto"/>
            </w:tcBorders>
          </w:tcPr>
          <w:p w14:paraId="1230E901" w14:textId="60D6C2BE" w:rsidR="006A46BF" w:rsidRPr="001C557A" w:rsidRDefault="006A46BF" w:rsidP="006A46BF">
            <w:pPr>
              <w:spacing w:line="360" w:lineRule="auto"/>
              <w:jc w:val="center"/>
              <w:rPr>
                <w:rFonts w:ascii="Times New Roman" w:hAnsi="Times New Roman" w:cs="Times New Roman"/>
                <w:b/>
                <w:bCs/>
                <w:sz w:val="12"/>
                <w:szCs w:val="12"/>
              </w:rPr>
            </w:pPr>
            <w:r w:rsidRPr="001C557A">
              <w:rPr>
                <w:b/>
                <w:bCs/>
                <w:sz w:val="12"/>
                <w:szCs w:val="12"/>
              </w:rPr>
              <w:t>Naphtha Reform</w:t>
            </w:r>
            <w:r w:rsidR="000829C3" w:rsidRPr="001C557A">
              <w:rPr>
                <w:rFonts w:ascii="Times New Roman" w:hAnsi="Times New Roman" w:cs="Times New Roman"/>
                <w:b/>
                <w:bCs/>
                <w:sz w:val="12"/>
                <w:szCs w:val="12"/>
              </w:rPr>
              <w:t>.</w:t>
            </w:r>
          </w:p>
        </w:tc>
      </w:tr>
      <w:tr w:rsidR="000829C3" w:rsidRPr="00230EA3" w14:paraId="7256E81E" w14:textId="77777777" w:rsidTr="00A02D35">
        <w:tc>
          <w:tcPr>
            <w:tcW w:w="1838" w:type="dxa"/>
            <w:tcBorders>
              <w:top w:val="single" w:sz="4" w:space="0" w:color="auto"/>
            </w:tcBorders>
          </w:tcPr>
          <w:p w14:paraId="145B4A1E" w14:textId="77777777" w:rsidR="000829C3" w:rsidRPr="001D316D" w:rsidRDefault="000829C3" w:rsidP="006A46BF">
            <w:pPr>
              <w:spacing w:line="360" w:lineRule="auto"/>
              <w:rPr>
                <w:rFonts w:ascii="Times New Roman" w:hAnsi="Times New Roman" w:cs="Times New Roman"/>
                <w:sz w:val="12"/>
                <w:szCs w:val="12"/>
              </w:rPr>
            </w:pPr>
            <w:r w:rsidRPr="001C557A">
              <w:rPr>
                <w:rFonts w:ascii="Times New Roman" w:hAnsi="Times New Roman" w:cs="Times New Roman"/>
                <w:sz w:val="12"/>
                <w:szCs w:val="12"/>
              </w:rPr>
              <w:t>Emission factor, kg CO2/kg H2</w:t>
            </w:r>
          </w:p>
        </w:tc>
        <w:tc>
          <w:tcPr>
            <w:tcW w:w="1134" w:type="dxa"/>
            <w:tcBorders>
              <w:top w:val="single" w:sz="4" w:space="0" w:color="auto"/>
            </w:tcBorders>
          </w:tcPr>
          <w:p w14:paraId="0D372769"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9.31</w:t>
            </w:r>
          </w:p>
        </w:tc>
        <w:tc>
          <w:tcPr>
            <w:tcW w:w="992" w:type="dxa"/>
            <w:vMerge w:val="restart"/>
            <w:tcBorders>
              <w:top w:val="single" w:sz="4" w:space="0" w:color="auto"/>
            </w:tcBorders>
          </w:tcPr>
          <w:p w14:paraId="17EF97B3"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w:t>
            </w:r>
          </w:p>
          <w:p w14:paraId="5D9B7C7A"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*66.6 kWh/ kg H</w:t>
            </w:r>
            <w:r w:rsidRPr="001C557A">
              <w:rPr>
                <w:sz w:val="12"/>
                <w:szCs w:val="12"/>
                <w:vertAlign w:val="subscript"/>
              </w:rPr>
              <w:t>2</w:t>
            </w:r>
            <w:r w:rsidRPr="001C557A">
              <w:rPr>
                <w:sz w:val="12"/>
                <w:szCs w:val="12"/>
              </w:rPr>
              <w:t xml:space="preserve"> (2030)</w:t>
            </w:r>
          </w:p>
          <w:p w14:paraId="310334FB"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60.4 (2040)</w:t>
            </w:r>
          </w:p>
          <w:p w14:paraId="631440CC"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54.7 (2050)</w:t>
            </w:r>
          </w:p>
          <w:p w14:paraId="5EFA6869"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w:t>
            </w:r>
          </w:p>
          <w:p w14:paraId="1B06B41E" w14:textId="47847C41" w:rsidR="000829C3" w:rsidRPr="001C557A" w:rsidRDefault="000829C3" w:rsidP="00FF7045">
            <w:pPr>
              <w:spacing w:line="360" w:lineRule="auto"/>
              <w:jc w:val="center"/>
              <w:rPr>
                <w:rFonts w:ascii="Times New Roman" w:hAnsi="Times New Roman" w:cs="Times New Roman"/>
                <w:sz w:val="12"/>
                <w:szCs w:val="12"/>
              </w:rPr>
            </w:pPr>
            <w:r w:rsidRPr="001C557A">
              <w:rPr>
                <w:sz w:val="12"/>
                <w:szCs w:val="12"/>
              </w:rPr>
              <w:t>0</w:t>
            </w:r>
          </w:p>
        </w:tc>
        <w:tc>
          <w:tcPr>
            <w:tcW w:w="1276" w:type="dxa"/>
            <w:tcBorders>
              <w:top w:val="single" w:sz="4" w:space="0" w:color="auto"/>
            </w:tcBorders>
          </w:tcPr>
          <w:p w14:paraId="6B38ACDA" w14:textId="5F86B27C" w:rsidR="000829C3" w:rsidRPr="001C557A" w:rsidRDefault="000829C3" w:rsidP="006A46BF">
            <w:pPr>
              <w:spacing w:line="360" w:lineRule="auto"/>
              <w:jc w:val="center"/>
              <w:rPr>
                <w:rFonts w:ascii="Times New Roman" w:hAnsi="Times New Roman" w:cs="Times New Roman"/>
                <w:sz w:val="12"/>
                <w:szCs w:val="12"/>
                <w:vertAlign w:val="subscript"/>
              </w:rPr>
            </w:pPr>
            <w:r w:rsidRPr="001C557A">
              <w:rPr>
                <w:sz w:val="12"/>
                <w:szCs w:val="12"/>
              </w:rPr>
              <w:t xml:space="preserve">† (up) </w:t>
            </w:r>
            <w:r w:rsidRPr="001C557A">
              <w:rPr>
                <w:sz w:val="12"/>
                <w:szCs w:val="12"/>
                <w:vertAlign w:val="subscript"/>
              </w:rPr>
              <w:t xml:space="preserve">+ </w:t>
            </w:r>
            <w:r w:rsidRPr="001C557A">
              <w:rPr>
                <w:sz w:val="12"/>
                <w:szCs w:val="12"/>
              </w:rPr>
              <w:t>1.7 kg CO</w:t>
            </w:r>
            <w:r w:rsidRPr="001C557A">
              <w:rPr>
                <w:sz w:val="12"/>
                <w:szCs w:val="12"/>
                <w:vertAlign w:val="subscript"/>
              </w:rPr>
              <w:t>2</w:t>
            </w:r>
            <w:r w:rsidRPr="001C557A">
              <w:rPr>
                <w:sz w:val="12"/>
                <w:szCs w:val="12"/>
              </w:rPr>
              <w:t xml:space="preserve">/ </w:t>
            </w:r>
            <w:proofErr w:type="spellStart"/>
            <w:r w:rsidRPr="001C557A">
              <w:rPr>
                <w:sz w:val="12"/>
                <w:szCs w:val="12"/>
              </w:rPr>
              <w:t>kWe</w:t>
            </w:r>
            <w:proofErr w:type="spellEnd"/>
          </w:p>
        </w:tc>
        <w:tc>
          <w:tcPr>
            <w:tcW w:w="1134" w:type="dxa"/>
            <w:tcBorders>
              <w:top w:val="single" w:sz="4" w:space="0" w:color="auto"/>
            </w:tcBorders>
          </w:tcPr>
          <w:p w14:paraId="784C0BBF" w14:textId="23FFD5C9"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 xml:space="preserve"> †(up) </w:t>
            </w:r>
            <w:r w:rsidRPr="001C557A">
              <w:rPr>
                <w:sz w:val="12"/>
                <w:szCs w:val="12"/>
                <w:vertAlign w:val="subscript"/>
              </w:rPr>
              <w:t xml:space="preserve">+ </w:t>
            </w:r>
            <w:proofErr w:type="gramStart"/>
            <w:r w:rsidRPr="001C557A">
              <w:rPr>
                <w:sz w:val="12"/>
                <w:szCs w:val="12"/>
              </w:rPr>
              <w:t>19.5  kg</w:t>
            </w:r>
            <w:proofErr w:type="gramEnd"/>
            <w:r w:rsidRPr="001C557A">
              <w:rPr>
                <w:sz w:val="12"/>
                <w:szCs w:val="12"/>
              </w:rPr>
              <w:t xml:space="preserve"> CO</w:t>
            </w:r>
            <w:r w:rsidRPr="001C557A">
              <w:rPr>
                <w:sz w:val="12"/>
                <w:szCs w:val="12"/>
                <w:vertAlign w:val="subscript"/>
              </w:rPr>
              <w:t>2</w:t>
            </w:r>
            <w:r w:rsidRPr="001C557A">
              <w:rPr>
                <w:sz w:val="12"/>
                <w:szCs w:val="12"/>
              </w:rPr>
              <w:t>/kg H</w:t>
            </w:r>
            <w:r w:rsidRPr="001C557A">
              <w:rPr>
                <w:sz w:val="12"/>
                <w:szCs w:val="12"/>
                <w:vertAlign w:val="subscript"/>
              </w:rPr>
              <w:t>2</w:t>
            </w:r>
          </w:p>
        </w:tc>
        <w:tc>
          <w:tcPr>
            <w:tcW w:w="1134" w:type="dxa"/>
            <w:tcBorders>
              <w:top w:val="single" w:sz="4" w:space="0" w:color="auto"/>
            </w:tcBorders>
          </w:tcPr>
          <w:p w14:paraId="186B959A"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w:t>
            </w:r>
          </w:p>
        </w:tc>
      </w:tr>
      <w:tr w:rsidR="000829C3" w:rsidRPr="00230EA3" w14:paraId="0CD84D56" w14:textId="77777777" w:rsidTr="00A02D35">
        <w:tc>
          <w:tcPr>
            <w:tcW w:w="1838" w:type="dxa"/>
          </w:tcPr>
          <w:p w14:paraId="0B13C96D" w14:textId="77777777" w:rsidR="000829C3" w:rsidRPr="001D316D" w:rsidRDefault="000829C3" w:rsidP="006A46BF">
            <w:pPr>
              <w:spacing w:line="360" w:lineRule="auto"/>
              <w:rPr>
                <w:rFonts w:ascii="Times New Roman" w:hAnsi="Times New Roman" w:cs="Times New Roman"/>
                <w:sz w:val="12"/>
                <w:szCs w:val="12"/>
              </w:rPr>
            </w:pPr>
            <w:r w:rsidRPr="001C557A">
              <w:rPr>
                <w:rFonts w:ascii="Times New Roman" w:hAnsi="Times New Roman" w:cs="Times New Roman"/>
                <w:sz w:val="12"/>
                <w:szCs w:val="12"/>
              </w:rPr>
              <w:t>Yield</w:t>
            </w:r>
          </w:p>
        </w:tc>
        <w:tc>
          <w:tcPr>
            <w:tcW w:w="1134" w:type="dxa"/>
          </w:tcPr>
          <w:p w14:paraId="11231E43" w14:textId="10DB3D99"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2.95 % vol. H2/NG</w:t>
            </w:r>
          </w:p>
        </w:tc>
        <w:tc>
          <w:tcPr>
            <w:tcW w:w="992" w:type="dxa"/>
            <w:vMerge/>
          </w:tcPr>
          <w:p w14:paraId="0B4CA4A5" w14:textId="31CB4A9E" w:rsidR="000829C3" w:rsidRPr="001C557A" w:rsidRDefault="000829C3" w:rsidP="00FF7045">
            <w:pPr>
              <w:spacing w:line="360" w:lineRule="auto"/>
              <w:jc w:val="center"/>
              <w:rPr>
                <w:rFonts w:ascii="Times New Roman" w:hAnsi="Times New Roman" w:cs="Times New Roman"/>
                <w:sz w:val="12"/>
                <w:szCs w:val="12"/>
              </w:rPr>
            </w:pPr>
          </w:p>
        </w:tc>
        <w:tc>
          <w:tcPr>
            <w:tcW w:w="1276" w:type="dxa"/>
          </w:tcPr>
          <w:p w14:paraId="1654F92E" w14:textId="5C9BB2BE"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1.13 MWe / t dry biomass</w:t>
            </w:r>
          </w:p>
        </w:tc>
        <w:tc>
          <w:tcPr>
            <w:tcW w:w="1134" w:type="dxa"/>
          </w:tcPr>
          <w:p w14:paraId="54E805C5" w14:textId="6123B309"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0.1 t H</w:t>
            </w:r>
            <w:r w:rsidRPr="001C557A">
              <w:rPr>
                <w:sz w:val="12"/>
                <w:szCs w:val="12"/>
                <w:vertAlign w:val="subscript"/>
              </w:rPr>
              <w:t>2</w:t>
            </w:r>
            <w:r w:rsidRPr="001C557A">
              <w:rPr>
                <w:sz w:val="12"/>
                <w:szCs w:val="12"/>
              </w:rPr>
              <w:t xml:space="preserve"> / t dry biomass (IG)</w:t>
            </w:r>
          </w:p>
        </w:tc>
        <w:tc>
          <w:tcPr>
            <w:tcW w:w="1134" w:type="dxa"/>
          </w:tcPr>
          <w:p w14:paraId="643228E9"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0.0032 t H</w:t>
            </w:r>
            <w:r w:rsidRPr="001C557A">
              <w:rPr>
                <w:sz w:val="12"/>
                <w:szCs w:val="12"/>
                <w:vertAlign w:val="subscript"/>
              </w:rPr>
              <w:t>2</w:t>
            </w:r>
            <w:r w:rsidRPr="001C557A">
              <w:rPr>
                <w:sz w:val="12"/>
                <w:szCs w:val="12"/>
              </w:rPr>
              <w:t>/bl</w:t>
            </w:r>
          </w:p>
          <w:p w14:paraId="73586462" w14:textId="77777777" w:rsidR="000829C3" w:rsidRPr="001C557A" w:rsidRDefault="000829C3" w:rsidP="006A46BF">
            <w:pPr>
              <w:spacing w:line="360" w:lineRule="auto"/>
              <w:jc w:val="center"/>
              <w:rPr>
                <w:rFonts w:ascii="Times New Roman" w:hAnsi="Times New Roman" w:cs="Times New Roman"/>
                <w:sz w:val="12"/>
                <w:szCs w:val="12"/>
              </w:rPr>
            </w:pPr>
          </w:p>
        </w:tc>
      </w:tr>
      <w:tr w:rsidR="000829C3" w:rsidRPr="00230EA3" w14:paraId="6EB700EC" w14:textId="77777777" w:rsidTr="00A02D35">
        <w:tc>
          <w:tcPr>
            <w:tcW w:w="1838" w:type="dxa"/>
          </w:tcPr>
          <w:p w14:paraId="7CE2196D" w14:textId="77777777" w:rsidR="000829C3" w:rsidRPr="001C557A" w:rsidRDefault="000829C3" w:rsidP="006A46BF">
            <w:pPr>
              <w:spacing w:line="360" w:lineRule="auto"/>
              <w:rPr>
                <w:rFonts w:ascii="Times New Roman" w:hAnsi="Times New Roman" w:cs="Times New Roman"/>
                <w:sz w:val="12"/>
                <w:szCs w:val="12"/>
              </w:rPr>
            </w:pPr>
            <w:r w:rsidRPr="001C557A">
              <w:rPr>
                <w:rFonts w:ascii="Times New Roman" w:hAnsi="Times New Roman" w:cs="Times New Roman"/>
                <w:sz w:val="12"/>
                <w:szCs w:val="12"/>
              </w:rPr>
              <w:t xml:space="preserve">Electricity </w:t>
            </w:r>
            <w:proofErr w:type="spellStart"/>
            <w:r w:rsidRPr="001C557A">
              <w:rPr>
                <w:rFonts w:ascii="Times New Roman" w:hAnsi="Times New Roman" w:cs="Times New Roman"/>
                <w:sz w:val="12"/>
                <w:szCs w:val="12"/>
              </w:rPr>
              <w:t>consump</w:t>
            </w:r>
            <w:proofErr w:type="spellEnd"/>
            <w:r w:rsidRPr="001C557A">
              <w:rPr>
                <w:rFonts w:ascii="Times New Roman" w:hAnsi="Times New Roman" w:cs="Times New Roman"/>
                <w:sz w:val="12"/>
                <w:szCs w:val="12"/>
              </w:rPr>
              <w:t>., MWe/t H2</w:t>
            </w:r>
          </w:p>
        </w:tc>
        <w:tc>
          <w:tcPr>
            <w:tcW w:w="1134" w:type="dxa"/>
          </w:tcPr>
          <w:p w14:paraId="08F66A94"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0.36</w:t>
            </w:r>
          </w:p>
        </w:tc>
        <w:tc>
          <w:tcPr>
            <w:tcW w:w="992" w:type="dxa"/>
            <w:vMerge/>
          </w:tcPr>
          <w:p w14:paraId="70636C88" w14:textId="786AC2A3" w:rsidR="000829C3" w:rsidRPr="001C557A" w:rsidRDefault="000829C3" w:rsidP="00FF7045">
            <w:pPr>
              <w:spacing w:line="360" w:lineRule="auto"/>
              <w:jc w:val="center"/>
              <w:rPr>
                <w:rFonts w:ascii="Times New Roman" w:hAnsi="Times New Roman" w:cs="Times New Roman"/>
                <w:sz w:val="12"/>
                <w:szCs w:val="12"/>
              </w:rPr>
            </w:pPr>
          </w:p>
        </w:tc>
        <w:tc>
          <w:tcPr>
            <w:tcW w:w="1276" w:type="dxa"/>
          </w:tcPr>
          <w:p w14:paraId="31478329" w14:textId="753A48C3"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w:t>
            </w:r>
          </w:p>
        </w:tc>
        <w:tc>
          <w:tcPr>
            <w:tcW w:w="1134" w:type="dxa"/>
          </w:tcPr>
          <w:p w14:paraId="1F7F8926"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1.57</w:t>
            </w:r>
          </w:p>
        </w:tc>
        <w:tc>
          <w:tcPr>
            <w:tcW w:w="1134" w:type="dxa"/>
          </w:tcPr>
          <w:p w14:paraId="7ABD34B1"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0.007 MWe/ bl</w:t>
            </w:r>
          </w:p>
        </w:tc>
      </w:tr>
      <w:tr w:rsidR="000829C3" w:rsidRPr="00230EA3" w14:paraId="40166CD7" w14:textId="77777777" w:rsidTr="00A02D35">
        <w:trPr>
          <w:trHeight w:val="193"/>
        </w:trPr>
        <w:tc>
          <w:tcPr>
            <w:tcW w:w="1838" w:type="dxa"/>
          </w:tcPr>
          <w:p w14:paraId="30856649" w14:textId="1A7D44D7" w:rsidR="000829C3" w:rsidRPr="001C557A" w:rsidRDefault="000829C3" w:rsidP="006A46BF">
            <w:pPr>
              <w:spacing w:line="360" w:lineRule="auto"/>
              <w:rPr>
                <w:rFonts w:ascii="Times New Roman" w:hAnsi="Times New Roman" w:cs="Times New Roman"/>
                <w:sz w:val="12"/>
                <w:szCs w:val="12"/>
              </w:rPr>
            </w:pPr>
            <w:r w:rsidRPr="001C557A">
              <w:rPr>
                <w:rFonts w:ascii="Times New Roman" w:hAnsi="Times New Roman" w:cs="Times New Roman"/>
                <w:sz w:val="12"/>
                <w:szCs w:val="12"/>
              </w:rPr>
              <w:t xml:space="preserve">Steam </w:t>
            </w:r>
            <w:proofErr w:type="spellStart"/>
            <w:r w:rsidRPr="001C557A">
              <w:rPr>
                <w:rFonts w:ascii="Times New Roman" w:hAnsi="Times New Roman" w:cs="Times New Roman"/>
                <w:sz w:val="12"/>
                <w:szCs w:val="12"/>
              </w:rPr>
              <w:t>consump</w:t>
            </w:r>
            <w:proofErr w:type="spellEnd"/>
            <w:r w:rsidRPr="001C557A">
              <w:rPr>
                <w:rFonts w:ascii="Times New Roman" w:hAnsi="Times New Roman" w:cs="Times New Roman"/>
                <w:sz w:val="12"/>
                <w:szCs w:val="12"/>
              </w:rPr>
              <w:t>., t Steam / t H2</w:t>
            </w:r>
          </w:p>
        </w:tc>
        <w:tc>
          <w:tcPr>
            <w:tcW w:w="1134" w:type="dxa"/>
          </w:tcPr>
          <w:p w14:paraId="08B1BB11" w14:textId="249446BC"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7.3 (export)</w:t>
            </w:r>
          </w:p>
        </w:tc>
        <w:tc>
          <w:tcPr>
            <w:tcW w:w="992" w:type="dxa"/>
            <w:vMerge/>
          </w:tcPr>
          <w:p w14:paraId="256225A9" w14:textId="19BCCDBD" w:rsidR="000829C3" w:rsidRPr="001C557A" w:rsidRDefault="000829C3" w:rsidP="00FF7045">
            <w:pPr>
              <w:spacing w:line="360" w:lineRule="auto"/>
              <w:jc w:val="center"/>
              <w:rPr>
                <w:rFonts w:ascii="Times New Roman" w:hAnsi="Times New Roman" w:cs="Times New Roman"/>
                <w:sz w:val="12"/>
                <w:szCs w:val="12"/>
              </w:rPr>
            </w:pPr>
          </w:p>
        </w:tc>
        <w:tc>
          <w:tcPr>
            <w:tcW w:w="1276" w:type="dxa"/>
          </w:tcPr>
          <w:p w14:paraId="414B9DDC" w14:textId="5AD594B0"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w:t>
            </w:r>
          </w:p>
        </w:tc>
        <w:tc>
          <w:tcPr>
            <w:tcW w:w="1134" w:type="dxa"/>
          </w:tcPr>
          <w:p w14:paraId="016A0489" w14:textId="03A2007A" w:rsidR="000829C3" w:rsidRPr="001C557A" w:rsidRDefault="000829C3" w:rsidP="000829C3">
            <w:pPr>
              <w:spacing w:line="360" w:lineRule="auto"/>
              <w:jc w:val="center"/>
              <w:rPr>
                <w:rFonts w:ascii="Times New Roman" w:hAnsi="Times New Roman" w:cs="Times New Roman"/>
                <w:sz w:val="12"/>
                <w:szCs w:val="12"/>
              </w:rPr>
            </w:pPr>
            <w:r w:rsidRPr="001C557A">
              <w:rPr>
                <w:sz w:val="12"/>
                <w:szCs w:val="12"/>
              </w:rPr>
              <w:t>11.6</w:t>
            </w:r>
          </w:p>
        </w:tc>
        <w:tc>
          <w:tcPr>
            <w:tcW w:w="1134" w:type="dxa"/>
          </w:tcPr>
          <w:p w14:paraId="5B3CA1C2"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0.035 t/bl</w:t>
            </w:r>
          </w:p>
        </w:tc>
      </w:tr>
      <w:tr w:rsidR="000829C3" w:rsidRPr="00230EA3" w14:paraId="28880154" w14:textId="77777777" w:rsidTr="00A02D35">
        <w:tc>
          <w:tcPr>
            <w:tcW w:w="1838" w:type="dxa"/>
          </w:tcPr>
          <w:p w14:paraId="375A3F7C" w14:textId="3D2F3C71" w:rsidR="000829C3" w:rsidRPr="001C557A" w:rsidRDefault="000829C3" w:rsidP="006A46BF">
            <w:pPr>
              <w:spacing w:line="360" w:lineRule="auto"/>
              <w:rPr>
                <w:rFonts w:ascii="Times New Roman" w:hAnsi="Times New Roman" w:cs="Times New Roman"/>
                <w:sz w:val="12"/>
                <w:szCs w:val="12"/>
                <w:lang w:val="es-CO"/>
              </w:rPr>
            </w:pPr>
            <w:r w:rsidRPr="001C557A">
              <w:rPr>
                <w:rFonts w:ascii="Times New Roman" w:hAnsi="Times New Roman" w:cs="Times New Roman"/>
                <w:sz w:val="12"/>
                <w:szCs w:val="12"/>
                <w:lang w:val="es-CO"/>
              </w:rPr>
              <w:t>Fuel gas consump., GJ/ t H2</w:t>
            </w:r>
          </w:p>
        </w:tc>
        <w:tc>
          <w:tcPr>
            <w:tcW w:w="1134" w:type="dxa"/>
          </w:tcPr>
          <w:p w14:paraId="1C42478C"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73.8</w:t>
            </w:r>
          </w:p>
        </w:tc>
        <w:tc>
          <w:tcPr>
            <w:tcW w:w="992" w:type="dxa"/>
            <w:vMerge/>
          </w:tcPr>
          <w:p w14:paraId="35BF94FC" w14:textId="68037ECF" w:rsidR="000829C3" w:rsidRPr="001C557A" w:rsidRDefault="000829C3" w:rsidP="006A46BF">
            <w:pPr>
              <w:spacing w:line="360" w:lineRule="auto"/>
              <w:jc w:val="center"/>
              <w:rPr>
                <w:rFonts w:ascii="Times New Roman" w:hAnsi="Times New Roman" w:cs="Times New Roman"/>
                <w:sz w:val="12"/>
                <w:szCs w:val="12"/>
              </w:rPr>
            </w:pPr>
          </w:p>
        </w:tc>
        <w:tc>
          <w:tcPr>
            <w:tcW w:w="1276" w:type="dxa"/>
          </w:tcPr>
          <w:p w14:paraId="11C35A32" w14:textId="4EB617ED"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w:t>
            </w:r>
          </w:p>
        </w:tc>
        <w:tc>
          <w:tcPr>
            <w:tcW w:w="1134" w:type="dxa"/>
          </w:tcPr>
          <w:p w14:paraId="0E67F10E"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w:t>
            </w:r>
          </w:p>
        </w:tc>
        <w:tc>
          <w:tcPr>
            <w:tcW w:w="1134" w:type="dxa"/>
          </w:tcPr>
          <w:p w14:paraId="4497651A" w14:textId="77777777" w:rsidR="000829C3" w:rsidRPr="001C557A" w:rsidRDefault="000829C3" w:rsidP="006A46BF">
            <w:pPr>
              <w:spacing w:line="360" w:lineRule="auto"/>
              <w:jc w:val="center"/>
              <w:rPr>
                <w:rFonts w:ascii="Times New Roman" w:hAnsi="Times New Roman" w:cs="Times New Roman"/>
                <w:sz w:val="12"/>
                <w:szCs w:val="12"/>
              </w:rPr>
            </w:pPr>
            <w:r w:rsidRPr="001C557A">
              <w:rPr>
                <w:sz w:val="12"/>
                <w:szCs w:val="12"/>
              </w:rPr>
              <w:t>0.25 GJ/bl</w:t>
            </w:r>
          </w:p>
        </w:tc>
      </w:tr>
      <w:tr w:rsidR="00806CB3" w:rsidRPr="00230EA3" w14:paraId="0C1B46CF" w14:textId="77777777" w:rsidTr="00A02D35">
        <w:tc>
          <w:tcPr>
            <w:tcW w:w="1838" w:type="dxa"/>
          </w:tcPr>
          <w:p w14:paraId="6694E219" w14:textId="77777777" w:rsidR="006A46BF" w:rsidRPr="001D316D" w:rsidRDefault="006A46BF" w:rsidP="006A46BF">
            <w:pPr>
              <w:spacing w:line="360" w:lineRule="auto"/>
              <w:rPr>
                <w:rFonts w:ascii="Times New Roman" w:hAnsi="Times New Roman" w:cs="Times New Roman"/>
                <w:sz w:val="12"/>
                <w:szCs w:val="12"/>
              </w:rPr>
            </w:pPr>
            <w:r w:rsidRPr="001C557A">
              <w:rPr>
                <w:rFonts w:ascii="Times New Roman" w:hAnsi="Times New Roman" w:cs="Times New Roman"/>
                <w:sz w:val="12"/>
                <w:szCs w:val="12"/>
              </w:rPr>
              <w:t>Capex 2022, M€/ t/d H2</w:t>
            </w:r>
          </w:p>
        </w:tc>
        <w:tc>
          <w:tcPr>
            <w:tcW w:w="1134" w:type="dxa"/>
          </w:tcPr>
          <w:p w14:paraId="78B2BAB6" w14:textId="77777777" w:rsidR="006A46BF" w:rsidRPr="001C557A" w:rsidRDefault="006A46BF" w:rsidP="006A46BF">
            <w:pPr>
              <w:spacing w:line="360" w:lineRule="auto"/>
              <w:jc w:val="center"/>
              <w:rPr>
                <w:rFonts w:ascii="Times New Roman" w:hAnsi="Times New Roman" w:cs="Times New Roman"/>
                <w:sz w:val="12"/>
                <w:szCs w:val="12"/>
              </w:rPr>
            </w:pPr>
            <w:r w:rsidRPr="001C557A">
              <w:rPr>
                <w:sz w:val="12"/>
                <w:szCs w:val="12"/>
              </w:rPr>
              <w:t xml:space="preserve">1.7-2.6 </w:t>
            </w:r>
          </w:p>
        </w:tc>
        <w:tc>
          <w:tcPr>
            <w:tcW w:w="992" w:type="dxa"/>
          </w:tcPr>
          <w:p w14:paraId="7BB1CBF4" w14:textId="77777777" w:rsidR="006A46BF" w:rsidRPr="001C557A" w:rsidRDefault="006A46BF" w:rsidP="006A46BF">
            <w:pPr>
              <w:spacing w:line="360" w:lineRule="auto"/>
              <w:jc w:val="center"/>
              <w:rPr>
                <w:rFonts w:ascii="Times New Roman" w:hAnsi="Times New Roman" w:cs="Times New Roman"/>
                <w:sz w:val="12"/>
                <w:szCs w:val="12"/>
              </w:rPr>
            </w:pPr>
            <w:r w:rsidRPr="001C557A">
              <w:rPr>
                <w:sz w:val="12"/>
                <w:szCs w:val="12"/>
              </w:rPr>
              <w:t>3.6-5.7</w:t>
            </w:r>
          </w:p>
        </w:tc>
        <w:tc>
          <w:tcPr>
            <w:tcW w:w="1276" w:type="dxa"/>
          </w:tcPr>
          <w:p w14:paraId="6EEA48F2" w14:textId="59DE5286" w:rsidR="006A46BF" w:rsidRPr="001C557A" w:rsidRDefault="006A46BF" w:rsidP="006A46BF">
            <w:pPr>
              <w:spacing w:line="360" w:lineRule="auto"/>
              <w:jc w:val="center"/>
              <w:rPr>
                <w:rFonts w:ascii="Times New Roman" w:hAnsi="Times New Roman" w:cs="Times New Roman"/>
                <w:sz w:val="12"/>
                <w:szCs w:val="12"/>
              </w:rPr>
            </w:pPr>
            <w:r w:rsidRPr="001C557A">
              <w:rPr>
                <w:sz w:val="12"/>
                <w:szCs w:val="12"/>
              </w:rPr>
              <w:t xml:space="preserve">4.4-8.7 M€/MWe </w:t>
            </w:r>
          </w:p>
        </w:tc>
        <w:tc>
          <w:tcPr>
            <w:tcW w:w="1134" w:type="dxa"/>
          </w:tcPr>
          <w:p w14:paraId="2CFD6F1D" w14:textId="77777777" w:rsidR="006A46BF" w:rsidRPr="001C557A" w:rsidRDefault="006A46BF" w:rsidP="006A46BF">
            <w:pPr>
              <w:spacing w:line="360" w:lineRule="auto"/>
              <w:jc w:val="center"/>
              <w:rPr>
                <w:rFonts w:ascii="Times New Roman" w:hAnsi="Times New Roman" w:cs="Times New Roman"/>
                <w:sz w:val="12"/>
                <w:szCs w:val="12"/>
              </w:rPr>
            </w:pPr>
            <w:r w:rsidRPr="001C557A">
              <w:rPr>
                <w:sz w:val="12"/>
                <w:szCs w:val="12"/>
              </w:rPr>
              <w:t>4.3 – 5.9</w:t>
            </w:r>
          </w:p>
        </w:tc>
        <w:tc>
          <w:tcPr>
            <w:tcW w:w="1134" w:type="dxa"/>
          </w:tcPr>
          <w:p w14:paraId="119C877A" w14:textId="138A25E5" w:rsidR="006A46BF" w:rsidRPr="001C557A" w:rsidRDefault="006A46BF" w:rsidP="006A46BF">
            <w:pPr>
              <w:spacing w:line="360" w:lineRule="auto"/>
              <w:jc w:val="center"/>
              <w:rPr>
                <w:rFonts w:ascii="Times New Roman" w:hAnsi="Times New Roman" w:cs="Times New Roman"/>
                <w:sz w:val="12"/>
                <w:szCs w:val="12"/>
              </w:rPr>
            </w:pPr>
            <w:r w:rsidRPr="001C557A">
              <w:rPr>
                <w:sz w:val="12"/>
                <w:szCs w:val="12"/>
              </w:rPr>
              <w:t>15-17 M€ /</w:t>
            </w:r>
            <w:proofErr w:type="spellStart"/>
            <w:r w:rsidRPr="001C557A">
              <w:rPr>
                <w:sz w:val="12"/>
                <w:szCs w:val="12"/>
              </w:rPr>
              <w:t>kbld</w:t>
            </w:r>
            <w:proofErr w:type="spellEnd"/>
          </w:p>
        </w:tc>
      </w:tr>
      <w:tr w:rsidR="00806CB3" w:rsidRPr="00230EA3" w14:paraId="1EB9A2C5" w14:textId="77777777" w:rsidTr="00A02D35">
        <w:tc>
          <w:tcPr>
            <w:tcW w:w="1838" w:type="dxa"/>
          </w:tcPr>
          <w:p w14:paraId="2A84BA30" w14:textId="77777777" w:rsidR="006A46BF" w:rsidRPr="001C557A" w:rsidRDefault="006A46BF" w:rsidP="006A46BF">
            <w:pPr>
              <w:rPr>
                <w:rFonts w:ascii="Times New Roman" w:hAnsi="Times New Roman" w:cs="Times New Roman"/>
                <w:sz w:val="12"/>
                <w:szCs w:val="12"/>
              </w:rPr>
            </w:pPr>
            <w:r w:rsidRPr="001C557A">
              <w:rPr>
                <w:rFonts w:ascii="Times New Roman" w:hAnsi="Times New Roman" w:cs="Times New Roman"/>
                <w:sz w:val="12"/>
                <w:szCs w:val="12"/>
              </w:rPr>
              <w:t xml:space="preserve">Fix </w:t>
            </w:r>
            <w:proofErr w:type="spellStart"/>
            <w:r w:rsidRPr="001C557A">
              <w:rPr>
                <w:rFonts w:ascii="Times New Roman" w:hAnsi="Times New Roman" w:cs="Times New Roman"/>
                <w:sz w:val="12"/>
                <w:szCs w:val="12"/>
              </w:rPr>
              <w:t>Opex</w:t>
            </w:r>
            <w:proofErr w:type="spellEnd"/>
            <w:r w:rsidRPr="001C557A">
              <w:rPr>
                <w:rFonts w:ascii="Times New Roman" w:hAnsi="Times New Roman" w:cs="Times New Roman"/>
                <w:sz w:val="12"/>
                <w:szCs w:val="12"/>
              </w:rPr>
              <w:t xml:space="preserve"> </w:t>
            </w:r>
            <w:proofErr w:type="gramStart"/>
            <w:r w:rsidRPr="001C557A">
              <w:rPr>
                <w:rFonts w:ascii="Times New Roman" w:hAnsi="Times New Roman" w:cs="Times New Roman"/>
                <w:sz w:val="12"/>
                <w:szCs w:val="12"/>
              </w:rPr>
              <w:t>( Capex</w:t>
            </w:r>
            <w:proofErr w:type="gramEnd"/>
            <w:r w:rsidRPr="001C557A">
              <w:rPr>
                <w:rFonts w:ascii="Times New Roman" w:hAnsi="Times New Roman" w:cs="Times New Roman"/>
                <w:sz w:val="12"/>
                <w:szCs w:val="12"/>
              </w:rPr>
              <w:t xml:space="preserve"> %)</w:t>
            </w:r>
          </w:p>
        </w:tc>
        <w:tc>
          <w:tcPr>
            <w:tcW w:w="1134" w:type="dxa"/>
          </w:tcPr>
          <w:p w14:paraId="40E79C27" w14:textId="77777777" w:rsidR="006A46BF" w:rsidRPr="001C557A" w:rsidRDefault="006A46BF" w:rsidP="006A46BF">
            <w:pPr>
              <w:jc w:val="center"/>
              <w:rPr>
                <w:rFonts w:ascii="Times New Roman" w:hAnsi="Times New Roman" w:cs="Times New Roman"/>
                <w:sz w:val="12"/>
                <w:szCs w:val="12"/>
              </w:rPr>
            </w:pPr>
            <w:r w:rsidRPr="001C557A">
              <w:rPr>
                <w:sz w:val="12"/>
                <w:szCs w:val="12"/>
              </w:rPr>
              <w:t>4%</w:t>
            </w:r>
          </w:p>
        </w:tc>
        <w:tc>
          <w:tcPr>
            <w:tcW w:w="992" w:type="dxa"/>
          </w:tcPr>
          <w:p w14:paraId="105E6068" w14:textId="77777777" w:rsidR="006A46BF" w:rsidRPr="001C557A" w:rsidRDefault="006A46BF" w:rsidP="006A46BF">
            <w:pPr>
              <w:jc w:val="center"/>
              <w:rPr>
                <w:rFonts w:ascii="Times New Roman" w:hAnsi="Times New Roman" w:cs="Times New Roman"/>
                <w:sz w:val="12"/>
                <w:szCs w:val="12"/>
              </w:rPr>
            </w:pPr>
            <w:r w:rsidRPr="001C557A">
              <w:rPr>
                <w:sz w:val="12"/>
                <w:szCs w:val="12"/>
              </w:rPr>
              <w:t>3%</w:t>
            </w:r>
          </w:p>
        </w:tc>
        <w:tc>
          <w:tcPr>
            <w:tcW w:w="1276" w:type="dxa"/>
          </w:tcPr>
          <w:p w14:paraId="0FA54043" w14:textId="77777777" w:rsidR="006A46BF" w:rsidRPr="001C557A" w:rsidRDefault="006A46BF" w:rsidP="006A46BF">
            <w:pPr>
              <w:jc w:val="center"/>
              <w:rPr>
                <w:rFonts w:ascii="Times New Roman" w:hAnsi="Times New Roman" w:cs="Times New Roman"/>
                <w:sz w:val="12"/>
                <w:szCs w:val="12"/>
              </w:rPr>
            </w:pPr>
            <w:r w:rsidRPr="001C557A">
              <w:rPr>
                <w:sz w:val="12"/>
                <w:szCs w:val="12"/>
              </w:rPr>
              <w:t>3%</w:t>
            </w:r>
          </w:p>
        </w:tc>
        <w:tc>
          <w:tcPr>
            <w:tcW w:w="1134" w:type="dxa"/>
          </w:tcPr>
          <w:p w14:paraId="519F12F2" w14:textId="77777777" w:rsidR="006A46BF" w:rsidRPr="001C557A" w:rsidRDefault="006A46BF" w:rsidP="006A46BF">
            <w:pPr>
              <w:jc w:val="center"/>
              <w:rPr>
                <w:rFonts w:ascii="Times New Roman" w:hAnsi="Times New Roman" w:cs="Times New Roman"/>
                <w:sz w:val="12"/>
                <w:szCs w:val="12"/>
              </w:rPr>
            </w:pPr>
            <w:r w:rsidRPr="001C557A">
              <w:rPr>
                <w:sz w:val="12"/>
                <w:szCs w:val="12"/>
              </w:rPr>
              <w:t>3%</w:t>
            </w:r>
          </w:p>
        </w:tc>
        <w:tc>
          <w:tcPr>
            <w:tcW w:w="1134" w:type="dxa"/>
          </w:tcPr>
          <w:p w14:paraId="5EA6A820" w14:textId="77777777" w:rsidR="006A46BF" w:rsidRPr="001C557A" w:rsidRDefault="006A46BF" w:rsidP="006A46BF">
            <w:pPr>
              <w:jc w:val="center"/>
              <w:rPr>
                <w:rFonts w:ascii="Times New Roman" w:hAnsi="Times New Roman" w:cs="Times New Roman"/>
                <w:sz w:val="12"/>
                <w:szCs w:val="12"/>
              </w:rPr>
            </w:pPr>
            <w:r w:rsidRPr="001C557A">
              <w:rPr>
                <w:sz w:val="12"/>
                <w:szCs w:val="12"/>
              </w:rPr>
              <w:t>3.5%</w:t>
            </w:r>
          </w:p>
        </w:tc>
      </w:tr>
      <w:tr w:rsidR="00806CB3" w:rsidRPr="00230EA3" w14:paraId="0D69BAC8" w14:textId="77777777" w:rsidTr="00A02D35">
        <w:tc>
          <w:tcPr>
            <w:tcW w:w="1838" w:type="dxa"/>
            <w:tcBorders>
              <w:bottom w:val="single" w:sz="4" w:space="0" w:color="auto"/>
            </w:tcBorders>
          </w:tcPr>
          <w:p w14:paraId="45E6D1DD" w14:textId="6A9591BC" w:rsidR="006A46BF" w:rsidRPr="001C557A" w:rsidRDefault="006A46BF" w:rsidP="006A46BF">
            <w:pPr>
              <w:rPr>
                <w:rFonts w:ascii="Times New Roman" w:hAnsi="Times New Roman" w:cs="Times New Roman"/>
                <w:sz w:val="12"/>
                <w:szCs w:val="12"/>
              </w:rPr>
            </w:pPr>
            <w:r w:rsidRPr="001C557A">
              <w:rPr>
                <w:rFonts w:ascii="Times New Roman" w:hAnsi="Times New Roman" w:cs="Times New Roman"/>
                <w:sz w:val="12"/>
                <w:szCs w:val="12"/>
              </w:rPr>
              <w:t>Econ. Lifetime, year</w:t>
            </w:r>
          </w:p>
        </w:tc>
        <w:tc>
          <w:tcPr>
            <w:tcW w:w="1134" w:type="dxa"/>
            <w:tcBorders>
              <w:bottom w:val="single" w:sz="4" w:space="0" w:color="auto"/>
            </w:tcBorders>
          </w:tcPr>
          <w:p w14:paraId="430DDB62" w14:textId="77777777" w:rsidR="006A46BF" w:rsidRPr="001C557A" w:rsidRDefault="006A46BF" w:rsidP="006A46BF">
            <w:pPr>
              <w:jc w:val="center"/>
              <w:rPr>
                <w:rFonts w:ascii="Times New Roman" w:hAnsi="Times New Roman" w:cs="Times New Roman"/>
                <w:sz w:val="12"/>
                <w:szCs w:val="12"/>
              </w:rPr>
            </w:pPr>
            <w:r w:rsidRPr="001C557A">
              <w:rPr>
                <w:sz w:val="12"/>
                <w:szCs w:val="12"/>
              </w:rPr>
              <w:t>25</w:t>
            </w:r>
          </w:p>
        </w:tc>
        <w:tc>
          <w:tcPr>
            <w:tcW w:w="992" w:type="dxa"/>
            <w:tcBorders>
              <w:bottom w:val="single" w:sz="4" w:space="0" w:color="auto"/>
            </w:tcBorders>
          </w:tcPr>
          <w:p w14:paraId="05A61F1D" w14:textId="77777777" w:rsidR="006A46BF" w:rsidRPr="001C557A" w:rsidRDefault="006A46BF" w:rsidP="006A46BF">
            <w:pPr>
              <w:jc w:val="center"/>
              <w:rPr>
                <w:rFonts w:ascii="Times New Roman" w:hAnsi="Times New Roman" w:cs="Times New Roman"/>
                <w:sz w:val="12"/>
                <w:szCs w:val="12"/>
              </w:rPr>
            </w:pPr>
            <w:r w:rsidRPr="001C557A">
              <w:rPr>
                <w:sz w:val="12"/>
                <w:szCs w:val="12"/>
              </w:rPr>
              <w:t>20</w:t>
            </w:r>
          </w:p>
        </w:tc>
        <w:tc>
          <w:tcPr>
            <w:tcW w:w="1276" w:type="dxa"/>
            <w:tcBorders>
              <w:bottom w:val="single" w:sz="4" w:space="0" w:color="auto"/>
            </w:tcBorders>
          </w:tcPr>
          <w:p w14:paraId="51044D36" w14:textId="77777777" w:rsidR="006A46BF" w:rsidRPr="001C557A" w:rsidRDefault="006A46BF" w:rsidP="006A46BF">
            <w:pPr>
              <w:jc w:val="center"/>
              <w:rPr>
                <w:rFonts w:ascii="Times New Roman" w:hAnsi="Times New Roman" w:cs="Times New Roman"/>
                <w:sz w:val="12"/>
                <w:szCs w:val="12"/>
              </w:rPr>
            </w:pPr>
            <w:r w:rsidRPr="001C557A">
              <w:rPr>
                <w:sz w:val="12"/>
                <w:szCs w:val="12"/>
              </w:rPr>
              <w:t>20</w:t>
            </w:r>
          </w:p>
        </w:tc>
        <w:tc>
          <w:tcPr>
            <w:tcW w:w="1134" w:type="dxa"/>
            <w:tcBorders>
              <w:bottom w:val="single" w:sz="4" w:space="0" w:color="auto"/>
            </w:tcBorders>
          </w:tcPr>
          <w:p w14:paraId="2D12FADE" w14:textId="77777777" w:rsidR="006A46BF" w:rsidRPr="001C557A" w:rsidRDefault="006A46BF" w:rsidP="006A46BF">
            <w:pPr>
              <w:jc w:val="center"/>
              <w:rPr>
                <w:rFonts w:ascii="Times New Roman" w:hAnsi="Times New Roman" w:cs="Times New Roman"/>
                <w:sz w:val="12"/>
                <w:szCs w:val="12"/>
              </w:rPr>
            </w:pPr>
            <w:r w:rsidRPr="001C557A">
              <w:rPr>
                <w:sz w:val="12"/>
                <w:szCs w:val="12"/>
              </w:rPr>
              <w:t>25</w:t>
            </w:r>
          </w:p>
        </w:tc>
        <w:tc>
          <w:tcPr>
            <w:tcW w:w="1134" w:type="dxa"/>
            <w:tcBorders>
              <w:bottom w:val="single" w:sz="4" w:space="0" w:color="auto"/>
            </w:tcBorders>
          </w:tcPr>
          <w:p w14:paraId="4C2EDFDA" w14:textId="77777777" w:rsidR="006A46BF" w:rsidRPr="001C557A" w:rsidRDefault="006A46BF" w:rsidP="006A46BF">
            <w:pPr>
              <w:jc w:val="center"/>
              <w:rPr>
                <w:rFonts w:ascii="Times New Roman" w:hAnsi="Times New Roman" w:cs="Times New Roman"/>
                <w:sz w:val="12"/>
                <w:szCs w:val="12"/>
              </w:rPr>
            </w:pPr>
            <w:r w:rsidRPr="001C557A">
              <w:rPr>
                <w:sz w:val="12"/>
                <w:szCs w:val="12"/>
              </w:rPr>
              <w:t>30</w:t>
            </w:r>
          </w:p>
        </w:tc>
      </w:tr>
    </w:tbl>
    <w:p w14:paraId="4022B9AD" w14:textId="2D1851F3" w:rsidR="0082030D" w:rsidRPr="00A02D35" w:rsidRDefault="00154679" w:rsidP="00B72C87">
      <w:pPr>
        <w:pStyle w:val="Didascalia"/>
        <w:keepLines w:val="0"/>
        <w:spacing w:before="0" w:after="0"/>
        <w:rPr>
          <w:b/>
          <w:bCs/>
          <w:sz w:val="12"/>
          <w:szCs w:val="12"/>
        </w:rPr>
      </w:pPr>
      <w:r w:rsidRPr="00A02D35">
        <w:rPr>
          <w:sz w:val="12"/>
          <w:szCs w:val="12"/>
        </w:rPr>
        <w:t xml:space="preserve">12% Discounting </w:t>
      </w:r>
      <w:proofErr w:type="gramStart"/>
      <w:r w:rsidRPr="00A02D35">
        <w:rPr>
          <w:sz w:val="12"/>
          <w:szCs w:val="12"/>
        </w:rPr>
        <w:t xml:space="preserve">rate </w:t>
      </w:r>
      <w:r w:rsidR="006A46BF" w:rsidRPr="00A02D35">
        <w:rPr>
          <w:sz w:val="12"/>
          <w:szCs w:val="12"/>
        </w:rPr>
        <w:t xml:space="preserve"> </w:t>
      </w:r>
      <w:r w:rsidR="00B72C87" w:rsidRPr="00A02D35">
        <w:rPr>
          <w:b/>
          <w:bCs/>
          <w:sz w:val="12"/>
          <w:szCs w:val="12"/>
        </w:rPr>
        <w:t>*</w:t>
      </w:r>
      <w:proofErr w:type="gramEnd"/>
      <w:r w:rsidR="00B72C87" w:rsidRPr="00A02D35">
        <w:rPr>
          <w:b/>
          <w:bCs/>
          <w:sz w:val="12"/>
          <w:szCs w:val="12"/>
        </w:rPr>
        <w:t xml:space="preserve"> </w:t>
      </w:r>
      <w:r w:rsidR="00B72C87" w:rsidRPr="00A02D35">
        <w:rPr>
          <w:i/>
          <w:iCs/>
          <w:sz w:val="12"/>
          <w:szCs w:val="12"/>
        </w:rPr>
        <w:t>Including 19% additional consumption for auxiliary equipment.</w:t>
      </w:r>
      <w:r w:rsidR="000829C3" w:rsidRPr="00A02D35">
        <w:rPr>
          <w:sz w:val="12"/>
          <w:szCs w:val="12"/>
        </w:rPr>
        <w:t xml:space="preserve"> † </w:t>
      </w:r>
      <w:r w:rsidR="000829C3" w:rsidRPr="00A02D35">
        <w:rPr>
          <w:i/>
          <w:iCs/>
          <w:sz w:val="12"/>
          <w:szCs w:val="12"/>
        </w:rPr>
        <w:t>Upstream:</w:t>
      </w:r>
      <w:r w:rsidR="000829C3" w:rsidRPr="00A02D35">
        <w:rPr>
          <w:sz w:val="12"/>
          <w:szCs w:val="12"/>
        </w:rPr>
        <w:t xml:space="preserve"> </w:t>
      </w:r>
      <w:r w:rsidR="000829C3" w:rsidRPr="00A02D35">
        <w:rPr>
          <w:i/>
          <w:iCs/>
          <w:sz w:val="12"/>
          <w:szCs w:val="12"/>
        </w:rPr>
        <w:t>126.5 kg CO2 / t dry biomass</w:t>
      </w:r>
      <w:r w:rsidR="008C05AB" w:rsidRPr="00A02D35">
        <w:rPr>
          <w:i/>
          <w:iCs/>
          <w:sz w:val="12"/>
          <w:szCs w:val="12"/>
        </w:rPr>
        <w:t xml:space="preserve"> </w:t>
      </w:r>
      <w:proofErr w:type="spellStart"/>
      <w:r w:rsidR="006A46BF" w:rsidRPr="00A02D35">
        <w:rPr>
          <w:i/>
          <w:iCs/>
          <w:sz w:val="12"/>
          <w:szCs w:val="12"/>
        </w:rPr>
        <w:t>k</w:t>
      </w:r>
      <w:r w:rsidR="008C05AB" w:rsidRPr="00A02D35">
        <w:rPr>
          <w:i/>
          <w:iCs/>
          <w:sz w:val="12"/>
          <w:szCs w:val="12"/>
        </w:rPr>
        <w:t>bld</w:t>
      </w:r>
      <w:proofErr w:type="spellEnd"/>
      <w:r w:rsidR="008C05AB" w:rsidRPr="00A02D35">
        <w:rPr>
          <w:i/>
          <w:iCs/>
          <w:sz w:val="12"/>
          <w:szCs w:val="12"/>
        </w:rPr>
        <w:t xml:space="preserve">: </w:t>
      </w:r>
      <w:r w:rsidR="006A46BF" w:rsidRPr="00A02D35">
        <w:rPr>
          <w:i/>
          <w:iCs/>
          <w:sz w:val="12"/>
          <w:szCs w:val="12"/>
        </w:rPr>
        <w:t xml:space="preserve">Kilo </w:t>
      </w:r>
      <w:r w:rsidR="008C05AB" w:rsidRPr="00A02D35">
        <w:rPr>
          <w:i/>
          <w:iCs/>
          <w:sz w:val="12"/>
          <w:szCs w:val="12"/>
        </w:rPr>
        <w:t>Barrel per day</w:t>
      </w:r>
    </w:p>
    <w:p w14:paraId="3C34BABC" w14:textId="77777777" w:rsidR="0082030D" w:rsidRDefault="0082030D" w:rsidP="008A66FB">
      <w:pPr>
        <w:pStyle w:val="Didascalia"/>
        <w:keepLines w:val="0"/>
        <w:spacing w:before="0" w:after="0"/>
        <w:rPr>
          <w:b/>
          <w:bCs/>
          <w:szCs w:val="18"/>
        </w:rPr>
      </w:pPr>
    </w:p>
    <w:p w14:paraId="3D7ACBE1" w14:textId="6876A15B" w:rsidR="00F15B21" w:rsidRDefault="00A07125" w:rsidP="00A07125">
      <w:pPr>
        <w:pStyle w:val="Didascalia"/>
        <w:keepLines w:val="0"/>
        <w:spacing w:before="0" w:after="0"/>
        <w:jc w:val="both"/>
        <w:rPr>
          <w:sz w:val="20"/>
        </w:rPr>
      </w:pPr>
      <w:r w:rsidRPr="00A02D35">
        <w:rPr>
          <w:sz w:val="20"/>
        </w:rPr>
        <w:t>Regarding CO</w:t>
      </w:r>
      <w:r w:rsidRPr="00A02D35">
        <w:rPr>
          <w:sz w:val="20"/>
          <w:vertAlign w:val="subscript"/>
        </w:rPr>
        <w:t>2</w:t>
      </w:r>
      <w:r w:rsidRPr="00A02D35">
        <w:rPr>
          <w:sz w:val="20"/>
        </w:rPr>
        <w:t xml:space="preserve"> storage, the geological reservoir used in the model follows the estimation of capacity onshore and offshore potential in Colombia </w:t>
      </w:r>
      <w:r w:rsidR="00F15B21">
        <w:rPr>
          <w:sz w:val="20"/>
        </w:rPr>
        <w:t>reported by</w:t>
      </w:r>
      <w:r w:rsidRPr="00A02D35">
        <w:rPr>
          <w:sz w:val="20"/>
        </w:rPr>
        <w:t xml:space="preserve"> </w:t>
      </w:r>
      <w:r w:rsidRPr="00A02D35">
        <w:rPr>
          <w:sz w:val="20"/>
        </w:rPr>
        <w:fldChar w:fldCharType="begin" w:fldLock="1"/>
      </w:r>
      <w:r w:rsidRPr="00A02D35">
        <w:rPr>
          <w:sz w:val="20"/>
        </w:rPr>
        <w:instrText>ADDIN CSL_CITATION {"citationItems":[{"id":"ITEM-1","itemData":{"DOI":"10.1016/j.esr.2023.101232","author":[{"dropping-particle":"","family":"Younis","given":"Ahmed","non-dropping-particle":"","parse-names":false,"suffix":""},{"dropping-particle":"","family":"Suarez","given":"Lorena","non-dropping-particle":"","parse-names":false,"suffix":""},{"dropping-particle":"","family":"Lap","given":"Tjerk","non-dropping-particle":"","parse-names":false,"suffix":""},{"dropping-particle":"","family":"Edgar","given":"Y","non-dropping-particle":"","parse-names":false,"suffix":""}],"id":"ITEM-1","issue":"July","issued":{"date-parts":[["2023"]]},"title":"Exploring the spatiotemporal evolution of bioenergy with carbon capture and storage and decarbonization of oil refineries with a national energy system model of Colombia ´ n","type":"article-journal","volume":"50"},"uris":["http://www.mendeley.com/documents/?uuid=f749a38d-d952-4531-9c4a-93848d160487"]}],"mendeley":{"formattedCitation":"(Younis et al., 2023)","manualFormatting":"Younis et al., (2023)","plainTextFormattedCitation":"(Younis et al., 2023)","previouslyFormattedCitation":"(Younis et al., 2023)"},"properties":{"noteIndex":0},"schema":"https://github.com/citation-style-language/schema/raw/master/csl-citation.json"}</w:instrText>
      </w:r>
      <w:r w:rsidRPr="00A02D35">
        <w:rPr>
          <w:sz w:val="20"/>
        </w:rPr>
        <w:fldChar w:fldCharType="separate"/>
      </w:r>
      <w:r w:rsidRPr="00A02D35">
        <w:rPr>
          <w:noProof/>
          <w:sz w:val="20"/>
        </w:rPr>
        <w:t>Younis et al., (2023)</w:t>
      </w:r>
      <w:r w:rsidRPr="00A02D35">
        <w:rPr>
          <w:sz w:val="20"/>
        </w:rPr>
        <w:fldChar w:fldCharType="end"/>
      </w:r>
      <w:r w:rsidRPr="00A02D35">
        <w:rPr>
          <w:sz w:val="20"/>
        </w:rPr>
        <w:t>.</w:t>
      </w:r>
      <w:r w:rsidRPr="00A02D35">
        <w:rPr>
          <w:b/>
          <w:bCs/>
          <w:sz w:val="20"/>
        </w:rPr>
        <w:t xml:space="preserve"> </w:t>
      </w:r>
      <w:r w:rsidRPr="00A02D35">
        <w:rPr>
          <w:sz w:val="20"/>
        </w:rPr>
        <w:fldChar w:fldCharType="begin"/>
      </w:r>
      <w:r w:rsidRPr="00A02D35">
        <w:rPr>
          <w:sz w:val="20"/>
        </w:rPr>
        <w:instrText xml:space="preserve"> REF _Ref154087976 \h  \* MERGEFORMAT </w:instrText>
      </w:r>
      <w:r w:rsidRPr="00A02D35">
        <w:rPr>
          <w:sz w:val="20"/>
        </w:rPr>
      </w:r>
      <w:r w:rsidRPr="00A02D35">
        <w:rPr>
          <w:sz w:val="20"/>
        </w:rPr>
        <w:fldChar w:fldCharType="separate"/>
      </w:r>
      <w:r w:rsidRPr="00A02D35">
        <w:rPr>
          <w:sz w:val="20"/>
        </w:rPr>
        <w:t xml:space="preserve">Table </w:t>
      </w:r>
      <w:r w:rsidRPr="00A02D35">
        <w:rPr>
          <w:noProof/>
          <w:sz w:val="20"/>
        </w:rPr>
        <w:t>5</w:t>
      </w:r>
      <w:r w:rsidRPr="00A02D35">
        <w:rPr>
          <w:sz w:val="20"/>
        </w:rPr>
        <w:fldChar w:fldCharType="end"/>
      </w:r>
      <w:r w:rsidRPr="00A02D35">
        <w:rPr>
          <w:b/>
          <w:bCs/>
          <w:sz w:val="20"/>
        </w:rPr>
        <w:t xml:space="preserve"> </w:t>
      </w:r>
      <w:r w:rsidRPr="00A07125">
        <w:rPr>
          <w:sz w:val="20"/>
        </w:rPr>
        <w:t>shows the calculated CO</w:t>
      </w:r>
      <w:r w:rsidRPr="00A07125">
        <w:rPr>
          <w:sz w:val="20"/>
          <w:vertAlign w:val="subscript"/>
        </w:rPr>
        <w:t>2</w:t>
      </w:r>
      <w:r w:rsidRPr="00A07125">
        <w:rPr>
          <w:sz w:val="20"/>
        </w:rPr>
        <w:t xml:space="preserve"> footprint for </w:t>
      </w:r>
      <w:r w:rsidRPr="00A02D35">
        <w:rPr>
          <w:sz w:val="20"/>
        </w:rPr>
        <w:t>transportation</w:t>
      </w:r>
      <w:r w:rsidRPr="00A07125">
        <w:rPr>
          <w:sz w:val="20"/>
        </w:rPr>
        <w:t xml:space="preserve"> and storage alternatives. </w:t>
      </w:r>
      <w:r w:rsidRPr="00A02D35">
        <w:rPr>
          <w:sz w:val="20"/>
        </w:rPr>
        <w:t xml:space="preserve">Data for the case studies used confidential information from the on-site refinery processes (e.g., yields, mass and energy balance, operational cost), as well as scientific and industrial publications available in the literature, and information gathered from expert interviews. The mass, energy, and emissions balances were estimated for the annual operation of each process unit under normal conditions. As the raw data used in this study is confidential, values </w:t>
      </w:r>
      <w:r w:rsidR="00F15B21">
        <w:rPr>
          <w:sz w:val="20"/>
        </w:rPr>
        <w:t>are reported</w:t>
      </w:r>
      <w:r w:rsidRPr="00A02D35">
        <w:rPr>
          <w:sz w:val="20"/>
        </w:rPr>
        <w:t xml:space="preserve"> at the block process level. </w:t>
      </w:r>
    </w:p>
    <w:p w14:paraId="483ABFA9" w14:textId="77777777" w:rsidR="00F15B21" w:rsidRDefault="00F15B21" w:rsidP="00A07125">
      <w:pPr>
        <w:pStyle w:val="Didascalia"/>
        <w:keepLines w:val="0"/>
        <w:spacing w:before="0" w:after="0"/>
        <w:jc w:val="both"/>
        <w:rPr>
          <w:sz w:val="20"/>
        </w:rPr>
      </w:pPr>
    </w:p>
    <w:p w14:paraId="06C95D15" w14:textId="29A96EBA" w:rsidR="0082030D" w:rsidRDefault="00A07125">
      <w:pPr>
        <w:pStyle w:val="Didascalia"/>
        <w:keepLines w:val="0"/>
        <w:spacing w:before="0" w:after="0"/>
        <w:jc w:val="both"/>
        <w:rPr>
          <w:sz w:val="20"/>
        </w:rPr>
      </w:pPr>
      <w:r w:rsidRPr="00A02D35">
        <w:rPr>
          <w:sz w:val="20"/>
        </w:rPr>
        <w:t>In the</w:t>
      </w:r>
      <w:r w:rsidRPr="00A02D35">
        <w:rPr>
          <w:b/>
          <w:bCs/>
          <w:sz w:val="20"/>
        </w:rPr>
        <w:t xml:space="preserve"> </w:t>
      </w:r>
      <w:r w:rsidRPr="00A02D35">
        <w:rPr>
          <w:sz w:val="20"/>
        </w:rPr>
        <w:t>final stage, a system model was developed that represents the process and interactions of the technologies under evaluation. They are designed to represent the capacity, limits, and availability of the case study in interaction with the existing processes in the oil refineries.</w:t>
      </w:r>
      <w:r w:rsidR="006A46BF" w:rsidRPr="00A02D35">
        <w:rPr>
          <w:sz w:val="20"/>
        </w:rPr>
        <w:t xml:space="preserve"> The two case studies were modeled using Linny-</w:t>
      </w:r>
      <w:proofErr w:type="gramStart"/>
      <w:r w:rsidR="006A46BF" w:rsidRPr="00A02D35">
        <w:rPr>
          <w:sz w:val="20"/>
        </w:rPr>
        <w:t>R  (</w:t>
      </w:r>
      <w:proofErr w:type="gramEnd"/>
      <w:r w:rsidR="006A46BF" w:rsidRPr="00A02D35">
        <w:rPr>
          <w:sz w:val="20"/>
        </w:rPr>
        <w:t>Bots, 2022)</w:t>
      </w:r>
      <w:r w:rsidR="00F15B21">
        <w:rPr>
          <w:sz w:val="20"/>
        </w:rPr>
        <w:t xml:space="preserve"> a</w:t>
      </w:r>
      <w:r w:rsidR="006A46BF" w:rsidRPr="00A02D35">
        <w:rPr>
          <w:sz w:val="20"/>
        </w:rPr>
        <w:t xml:space="preserve"> </w:t>
      </w:r>
      <w:r w:rsidR="00F15B21">
        <w:rPr>
          <w:sz w:val="20"/>
        </w:rPr>
        <w:t>m</w:t>
      </w:r>
      <w:r w:rsidR="006A46BF" w:rsidRPr="00A02D35">
        <w:rPr>
          <w:sz w:val="20"/>
        </w:rPr>
        <w:t xml:space="preserve">ixed-integer linear programming (MILP) with a </w:t>
      </w:r>
      <w:proofErr w:type="spellStart"/>
      <w:r w:rsidR="006A46BF" w:rsidRPr="00A02D35">
        <w:rPr>
          <w:sz w:val="20"/>
        </w:rPr>
        <w:t>Gurobi</w:t>
      </w:r>
      <w:proofErr w:type="spellEnd"/>
      <w:r w:rsidR="006A46BF" w:rsidRPr="00A02D35">
        <w:rPr>
          <w:sz w:val="20"/>
        </w:rPr>
        <w:t xml:space="preserve"> MILP solver. In this software</w:t>
      </w:r>
      <w:r w:rsidR="001C557A">
        <w:rPr>
          <w:sz w:val="20"/>
        </w:rPr>
        <w:t>,</w:t>
      </w:r>
      <w:r w:rsidR="006A46BF" w:rsidRPr="00A02D35">
        <w:rPr>
          <w:sz w:val="20"/>
        </w:rPr>
        <w:t xml:space="preserve"> the refinery system can be represented by a block diagram. Each block corresponds to a process and the connections between blocks represent an energy or mass stream. The model was built in layers and at a section level of detail. Figure 1 shows a screenshot of the main layer in Linny-R. Additionally, all feedstocks/products were related to a process through a linear function. Finally, the balances shown in the model were made to represent a daily basis. The model runs 7 steps, every step corresponding to 5 calendar years, starting in 2020 and ending in 2050.</w:t>
      </w:r>
    </w:p>
    <w:p w14:paraId="2DF8D8C2" w14:textId="77777777" w:rsidR="004C1787" w:rsidRPr="00A02D35" w:rsidRDefault="004C1787" w:rsidP="004C1787">
      <w:pPr>
        <w:pStyle w:val="Els-body-text"/>
        <w:rPr>
          <w:lang w:val="en-GB"/>
        </w:rPr>
      </w:pPr>
    </w:p>
    <w:p w14:paraId="75FF0508" w14:textId="5F7D9C27" w:rsidR="004C1787" w:rsidRPr="00A02D35" w:rsidRDefault="004C1787" w:rsidP="00A02D35">
      <w:pPr>
        <w:pStyle w:val="Didascalia"/>
        <w:keepLines w:val="0"/>
        <w:spacing w:before="0" w:after="0"/>
        <w:jc w:val="both"/>
        <w:rPr>
          <w:sz w:val="20"/>
        </w:rPr>
      </w:pPr>
      <w:r w:rsidRPr="00A02D35">
        <w:rPr>
          <w:sz w:val="20"/>
        </w:rPr>
        <w:t>The main objective of the optimization function is centered on the maximization of cash flow within distinct blocks following the scheduling of CO</w:t>
      </w:r>
      <w:r w:rsidRPr="001D316D">
        <w:rPr>
          <w:sz w:val="20"/>
          <w:vertAlign w:val="subscript"/>
        </w:rPr>
        <w:t>2</w:t>
      </w:r>
      <w:r w:rsidRPr="00A02D35">
        <w:rPr>
          <w:sz w:val="20"/>
        </w:rPr>
        <w:t xml:space="preserve"> emissions reductions, </w:t>
      </w:r>
      <w:r w:rsidRPr="00A02D35">
        <w:rPr>
          <w:sz w:val="20"/>
        </w:rPr>
        <w:lastRenderedPageBreak/>
        <w:t xml:space="preserve">products, and availability of feedstocks and technologies. Feedstocks, products, and processes are considered variables in Linny-R. Every process and feedstock/product can be set at a low and up limit (Capacity). A list of data sets allows to establish a schedule of production or capacity or prices in time to feedstocks, products, and processes. Two separate models were built, one for each refinery. The model is composed of 486 variables for the </w:t>
      </w:r>
      <w:r w:rsidR="001C557A" w:rsidRPr="00A02D35">
        <w:rPr>
          <w:sz w:val="20"/>
        </w:rPr>
        <w:t>high</w:t>
      </w:r>
      <w:r w:rsidR="001C557A">
        <w:rPr>
          <w:sz w:val="20"/>
        </w:rPr>
        <w:t>-</w:t>
      </w:r>
      <w:r w:rsidRPr="00A02D35">
        <w:rPr>
          <w:sz w:val="20"/>
        </w:rPr>
        <w:t xml:space="preserve">complex refinery and 461 for the </w:t>
      </w:r>
      <w:r w:rsidR="001C557A" w:rsidRPr="00A02D35">
        <w:rPr>
          <w:sz w:val="20"/>
        </w:rPr>
        <w:t>medium</w:t>
      </w:r>
      <w:r w:rsidR="001C557A">
        <w:rPr>
          <w:sz w:val="20"/>
        </w:rPr>
        <w:t>-</w:t>
      </w:r>
      <w:r w:rsidRPr="00A02D35">
        <w:rPr>
          <w:sz w:val="20"/>
        </w:rPr>
        <w:t>complex refinery model.</w:t>
      </w:r>
      <w:commentRangeStart w:id="5"/>
      <w:commentRangeEnd w:id="5"/>
      <w:r w:rsidRPr="00A02D35">
        <w:rPr>
          <w:sz w:val="20"/>
        </w:rPr>
        <w:commentReference w:id="5"/>
      </w:r>
    </w:p>
    <w:p w14:paraId="2183B129" w14:textId="4237F25D" w:rsidR="005E63D3" w:rsidRPr="00E515AA" w:rsidRDefault="00661BF7" w:rsidP="00A02D35">
      <w:pPr>
        <w:pStyle w:val="Didascalia"/>
        <w:rPr>
          <w:szCs w:val="18"/>
        </w:rPr>
      </w:pPr>
      <w:bookmarkStart w:id="6" w:name="_Ref154088109"/>
      <w:bookmarkEnd w:id="4"/>
      <w:r w:rsidRPr="00A02D35">
        <w:rPr>
          <w:b/>
          <w:bCs/>
        </w:rPr>
        <w:t>Table</w:t>
      </w:r>
      <w:bookmarkEnd w:id="6"/>
      <w:r w:rsidRPr="00A02D35">
        <w:rPr>
          <w:b/>
          <w:bCs/>
        </w:rPr>
        <w:t xml:space="preserve"> </w:t>
      </w:r>
      <w:r w:rsidRPr="00A02D35">
        <w:rPr>
          <w:b/>
          <w:bCs/>
        </w:rPr>
        <w:fldChar w:fldCharType="begin"/>
      </w:r>
      <w:r w:rsidRPr="00A02D35">
        <w:rPr>
          <w:b/>
          <w:bCs/>
        </w:rPr>
        <w:instrText xml:space="preserve"> SEQ Table \* ARABIC </w:instrText>
      </w:r>
      <w:r w:rsidRPr="00A02D35">
        <w:rPr>
          <w:b/>
          <w:bCs/>
        </w:rPr>
        <w:fldChar w:fldCharType="separate"/>
      </w:r>
      <w:r w:rsidRPr="00A02D35">
        <w:rPr>
          <w:b/>
          <w:bCs/>
          <w:noProof/>
        </w:rPr>
        <w:t>4</w:t>
      </w:r>
      <w:r w:rsidRPr="00A02D35">
        <w:rPr>
          <w:b/>
          <w:bCs/>
        </w:rPr>
        <w:fldChar w:fldCharType="end"/>
      </w:r>
      <w:r w:rsidR="005E63D3" w:rsidRPr="008A66FB">
        <w:rPr>
          <w:b/>
          <w:bCs/>
          <w:szCs w:val="18"/>
        </w:rPr>
        <w:t>.</w:t>
      </w:r>
      <w:r w:rsidR="005E63D3" w:rsidRPr="00E515AA">
        <w:rPr>
          <w:szCs w:val="18"/>
        </w:rPr>
        <w:t xml:space="preserve"> Carbon capture processes</w:t>
      </w:r>
      <w:bookmarkStart w:id="7" w:name="_GoBack"/>
      <w:bookmarkEnd w:id="7"/>
    </w:p>
    <w:tbl>
      <w:tblPr>
        <w:tblStyle w:val="Grigliatabella"/>
        <w:tblW w:w="7371" w:type="dxa"/>
        <w:tblInd w:w="-5" w:type="dxa"/>
        <w:tblLayout w:type="fixed"/>
        <w:tblLook w:val="04A0" w:firstRow="1" w:lastRow="0" w:firstColumn="1" w:lastColumn="0" w:noHBand="0" w:noVBand="1"/>
      </w:tblPr>
      <w:tblGrid>
        <w:gridCol w:w="1418"/>
        <w:gridCol w:w="1276"/>
        <w:gridCol w:w="713"/>
        <w:gridCol w:w="1271"/>
        <w:gridCol w:w="1139"/>
        <w:gridCol w:w="709"/>
        <w:gridCol w:w="845"/>
      </w:tblGrid>
      <w:tr w:rsidR="003F18C5" w:rsidRPr="00090EA6" w14:paraId="7BFC0644" w14:textId="3FEAD5DC" w:rsidTr="00A02D35">
        <w:tc>
          <w:tcPr>
            <w:tcW w:w="1418" w:type="dxa"/>
            <w:tcBorders>
              <w:top w:val="single" w:sz="4" w:space="0" w:color="auto"/>
              <w:left w:val="nil"/>
              <w:bottom w:val="single" w:sz="4" w:space="0" w:color="auto"/>
              <w:right w:val="nil"/>
            </w:tcBorders>
          </w:tcPr>
          <w:p w14:paraId="543026CB" w14:textId="77777777" w:rsidR="003F18C5" w:rsidRPr="00610FED" w:rsidRDefault="003F18C5" w:rsidP="003F18C5">
            <w:pPr>
              <w:spacing w:line="360" w:lineRule="auto"/>
              <w:rPr>
                <w:rFonts w:ascii="Times New Roman" w:hAnsi="Times New Roman" w:cs="Times New Roman"/>
                <w:b/>
                <w:bCs/>
                <w:sz w:val="14"/>
                <w:szCs w:val="14"/>
              </w:rPr>
            </w:pPr>
            <w:r w:rsidRPr="00610FED">
              <w:rPr>
                <w:rFonts w:ascii="Times New Roman" w:hAnsi="Times New Roman" w:cs="Times New Roman"/>
                <w:b/>
                <w:bCs/>
                <w:sz w:val="14"/>
                <w:szCs w:val="14"/>
              </w:rPr>
              <w:t>Process</w:t>
            </w:r>
          </w:p>
        </w:tc>
        <w:tc>
          <w:tcPr>
            <w:tcW w:w="1276" w:type="dxa"/>
            <w:tcBorders>
              <w:top w:val="single" w:sz="4" w:space="0" w:color="auto"/>
              <w:left w:val="nil"/>
              <w:bottom w:val="single" w:sz="4" w:space="0" w:color="auto"/>
              <w:right w:val="nil"/>
            </w:tcBorders>
          </w:tcPr>
          <w:p w14:paraId="33304DA7" w14:textId="5B723618" w:rsidR="003F18C5" w:rsidRPr="00610FED" w:rsidDel="003F18C5" w:rsidRDefault="003F18C5" w:rsidP="003F18C5">
            <w:pPr>
              <w:spacing w:line="360" w:lineRule="auto"/>
              <w:jc w:val="center"/>
              <w:rPr>
                <w:b/>
                <w:bCs/>
                <w:sz w:val="14"/>
                <w:szCs w:val="14"/>
              </w:rPr>
            </w:pPr>
            <w:r w:rsidRPr="00610FED">
              <w:rPr>
                <w:rFonts w:ascii="Times New Roman" w:hAnsi="Times New Roman" w:cs="Times New Roman"/>
                <w:b/>
                <w:bCs/>
                <w:sz w:val="14"/>
                <w:szCs w:val="14"/>
              </w:rPr>
              <w:t>CO</w:t>
            </w:r>
            <w:r w:rsidRPr="00610FED">
              <w:rPr>
                <w:rFonts w:ascii="Times New Roman" w:hAnsi="Times New Roman" w:cs="Times New Roman"/>
                <w:b/>
                <w:bCs/>
                <w:sz w:val="14"/>
                <w:szCs w:val="14"/>
                <w:vertAlign w:val="subscript"/>
              </w:rPr>
              <w:t>2</w:t>
            </w:r>
            <w:r w:rsidRPr="00610FED">
              <w:rPr>
                <w:rFonts w:ascii="Times New Roman" w:hAnsi="Times New Roman" w:cs="Times New Roman"/>
                <w:b/>
                <w:bCs/>
                <w:sz w:val="14"/>
                <w:szCs w:val="14"/>
              </w:rPr>
              <w:t xml:space="preserve"> partial press</w:t>
            </w:r>
            <w:r>
              <w:rPr>
                <w:rFonts w:ascii="Times New Roman" w:hAnsi="Times New Roman" w:cs="Times New Roman"/>
                <w:b/>
                <w:bCs/>
                <w:sz w:val="14"/>
                <w:szCs w:val="14"/>
              </w:rPr>
              <w:t>.,</w:t>
            </w:r>
            <w:r w:rsidRPr="00610FED">
              <w:rPr>
                <w:rFonts w:ascii="Times New Roman" w:hAnsi="Times New Roman" w:cs="Times New Roman"/>
                <w:b/>
                <w:bCs/>
                <w:sz w:val="14"/>
                <w:szCs w:val="14"/>
              </w:rPr>
              <w:t xml:space="preserve"> bar</w:t>
            </w:r>
          </w:p>
        </w:tc>
        <w:tc>
          <w:tcPr>
            <w:tcW w:w="713" w:type="dxa"/>
            <w:tcBorders>
              <w:top w:val="single" w:sz="4" w:space="0" w:color="auto"/>
              <w:left w:val="nil"/>
              <w:bottom w:val="single" w:sz="4" w:space="0" w:color="auto"/>
              <w:right w:val="nil"/>
            </w:tcBorders>
          </w:tcPr>
          <w:p w14:paraId="7CFB7720" w14:textId="54899835" w:rsidR="003F18C5" w:rsidRPr="00610FED" w:rsidRDefault="003F18C5" w:rsidP="003F18C5">
            <w:pPr>
              <w:spacing w:line="360" w:lineRule="auto"/>
              <w:jc w:val="center"/>
              <w:rPr>
                <w:b/>
                <w:bCs/>
                <w:sz w:val="14"/>
                <w:szCs w:val="14"/>
              </w:rPr>
            </w:pPr>
            <w:r w:rsidRPr="00610FED">
              <w:rPr>
                <w:rFonts w:ascii="Times New Roman" w:hAnsi="Times New Roman" w:cs="Times New Roman"/>
                <w:b/>
                <w:bCs/>
                <w:sz w:val="14"/>
                <w:szCs w:val="14"/>
              </w:rPr>
              <w:t>Chem</w:t>
            </w:r>
            <w:r>
              <w:rPr>
                <w:rFonts w:ascii="Times New Roman" w:hAnsi="Times New Roman" w:cs="Times New Roman"/>
                <w:b/>
                <w:bCs/>
                <w:sz w:val="14"/>
                <w:szCs w:val="14"/>
              </w:rPr>
              <w:t>.</w:t>
            </w:r>
            <w:r w:rsidRPr="00610FED">
              <w:rPr>
                <w:rFonts w:ascii="Times New Roman" w:hAnsi="Times New Roman" w:cs="Times New Roman"/>
                <w:b/>
                <w:bCs/>
                <w:sz w:val="14"/>
                <w:szCs w:val="14"/>
              </w:rPr>
              <w:t xml:space="preserve"> solvent</w:t>
            </w:r>
          </w:p>
        </w:tc>
        <w:tc>
          <w:tcPr>
            <w:tcW w:w="1271" w:type="dxa"/>
            <w:tcBorders>
              <w:top w:val="single" w:sz="4" w:space="0" w:color="auto"/>
              <w:left w:val="nil"/>
              <w:bottom w:val="single" w:sz="4" w:space="0" w:color="auto"/>
              <w:right w:val="nil"/>
            </w:tcBorders>
          </w:tcPr>
          <w:p w14:paraId="5615F7B1" w14:textId="3DA11A52" w:rsidR="003F18C5" w:rsidRPr="00610FED" w:rsidRDefault="003F18C5" w:rsidP="003F18C5">
            <w:pPr>
              <w:spacing w:line="360" w:lineRule="auto"/>
              <w:jc w:val="center"/>
              <w:rPr>
                <w:b/>
                <w:bCs/>
                <w:sz w:val="14"/>
                <w:szCs w:val="14"/>
              </w:rPr>
            </w:pPr>
            <w:r w:rsidRPr="00273B85">
              <w:rPr>
                <w:rFonts w:ascii="Times New Roman" w:hAnsi="Times New Roman" w:cs="Times New Roman"/>
                <w:b/>
                <w:bCs/>
                <w:sz w:val="14"/>
                <w:szCs w:val="14"/>
              </w:rPr>
              <w:t>Electricity demand, kWh/t CO</w:t>
            </w:r>
            <w:r w:rsidRPr="00273B85">
              <w:rPr>
                <w:rFonts w:ascii="Times New Roman" w:hAnsi="Times New Roman" w:cs="Times New Roman"/>
                <w:b/>
                <w:bCs/>
                <w:sz w:val="14"/>
                <w:szCs w:val="14"/>
                <w:vertAlign w:val="subscript"/>
              </w:rPr>
              <w:t>2</w:t>
            </w:r>
            <w:r w:rsidRPr="00273B85">
              <w:rPr>
                <w:rFonts w:ascii="Times New Roman" w:hAnsi="Times New Roman" w:cs="Times New Roman"/>
                <w:b/>
                <w:bCs/>
                <w:sz w:val="14"/>
                <w:szCs w:val="14"/>
              </w:rPr>
              <w:t xml:space="preserve"> cap.</w:t>
            </w:r>
          </w:p>
        </w:tc>
        <w:tc>
          <w:tcPr>
            <w:tcW w:w="1139" w:type="dxa"/>
            <w:tcBorders>
              <w:top w:val="single" w:sz="4" w:space="0" w:color="auto"/>
              <w:left w:val="nil"/>
              <w:bottom w:val="single" w:sz="4" w:space="0" w:color="auto"/>
              <w:right w:val="nil"/>
            </w:tcBorders>
          </w:tcPr>
          <w:p w14:paraId="23CC1EE3" w14:textId="687B994C" w:rsidR="003F18C5" w:rsidRPr="00610FED" w:rsidRDefault="003F18C5" w:rsidP="003F18C5">
            <w:pPr>
              <w:spacing w:line="360" w:lineRule="auto"/>
              <w:jc w:val="center"/>
              <w:rPr>
                <w:b/>
                <w:bCs/>
                <w:sz w:val="14"/>
                <w:szCs w:val="14"/>
              </w:rPr>
            </w:pPr>
            <w:r w:rsidRPr="00273B85">
              <w:rPr>
                <w:rFonts w:ascii="Times New Roman" w:hAnsi="Times New Roman" w:cs="Times New Roman"/>
                <w:b/>
                <w:bCs/>
                <w:sz w:val="14"/>
                <w:szCs w:val="14"/>
              </w:rPr>
              <w:t>Heat demand, GJ/ t CO</w:t>
            </w:r>
            <w:r w:rsidRPr="00273B85">
              <w:rPr>
                <w:rFonts w:ascii="Times New Roman" w:hAnsi="Times New Roman" w:cs="Times New Roman"/>
                <w:b/>
                <w:bCs/>
                <w:sz w:val="14"/>
                <w:szCs w:val="14"/>
                <w:vertAlign w:val="subscript"/>
              </w:rPr>
              <w:t>2</w:t>
            </w:r>
            <w:r w:rsidRPr="00273B85">
              <w:rPr>
                <w:rFonts w:ascii="Times New Roman" w:hAnsi="Times New Roman" w:cs="Times New Roman"/>
                <w:b/>
                <w:bCs/>
                <w:sz w:val="14"/>
                <w:szCs w:val="14"/>
              </w:rPr>
              <w:t xml:space="preserve"> cap.</w:t>
            </w:r>
          </w:p>
        </w:tc>
        <w:tc>
          <w:tcPr>
            <w:tcW w:w="709" w:type="dxa"/>
            <w:tcBorders>
              <w:top w:val="single" w:sz="4" w:space="0" w:color="auto"/>
              <w:left w:val="nil"/>
              <w:bottom w:val="single" w:sz="4" w:space="0" w:color="auto"/>
              <w:right w:val="nil"/>
            </w:tcBorders>
          </w:tcPr>
          <w:p w14:paraId="6753E362" w14:textId="49A3AF64" w:rsidR="003F18C5" w:rsidRPr="00610FED" w:rsidRDefault="003F18C5" w:rsidP="003F18C5">
            <w:pPr>
              <w:spacing w:line="36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Capex, € 2022/ </w:t>
            </w:r>
            <w:r w:rsidR="00270F08">
              <w:rPr>
                <w:rFonts w:ascii="Times New Roman" w:hAnsi="Times New Roman" w:cs="Times New Roman"/>
                <w:b/>
                <w:bCs/>
                <w:sz w:val="14"/>
                <w:szCs w:val="14"/>
              </w:rPr>
              <w:t>t CO2</w:t>
            </w:r>
          </w:p>
        </w:tc>
        <w:tc>
          <w:tcPr>
            <w:tcW w:w="845" w:type="dxa"/>
            <w:tcBorders>
              <w:top w:val="single" w:sz="4" w:space="0" w:color="auto"/>
              <w:left w:val="nil"/>
              <w:bottom w:val="single" w:sz="4" w:space="0" w:color="auto"/>
              <w:right w:val="nil"/>
            </w:tcBorders>
          </w:tcPr>
          <w:p w14:paraId="18472250" w14:textId="0FBB66C1" w:rsidR="003F18C5" w:rsidRPr="00610FED" w:rsidRDefault="00963BA9" w:rsidP="003F18C5">
            <w:pPr>
              <w:spacing w:line="360" w:lineRule="auto"/>
              <w:jc w:val="center"/>
              <w:rPr>
                <w:rFonts w:ascii="Times New Roman" w:hAnsi="Times New Roman" w:cs="Times New Roman"/>
                <w:b/>
                <w:bCs/>
                <w:sz w:val="14"/>
                <w:szCs w:val="14"/>
              </w:rPr>
            </w:pPr>
            <w:r>
              <w:rPr>
                <w:rFonts w:ascii="Times New Roman" w:hAnsi="Times New Roman" w:cs="Times New Roman"/>
                <w:b/>
                <w:bCs/>
                <w:sz w:val="14"/>
                <w:szCs w:val="14"/>
              </w:rPr>
              <w:t>CO</w:t>
            </w:r>
            <w:r w:rsidRPr="00A02D35">
              <w:rPr>
                <w:b/>
                <w:bCs/>
                <w:sz w:val="14"/>
                <w:szCs w:val="14"/>
                <w:vertAlign w:val="subscript"/>
              </w:rPr>
              <w:t>2</w:t>
            </w:r>
            <w:r>
              <w:rPr>
                <w:rFonts w:ascii="Times New Roman" w:hAnsi="Times New Roman" w:cs="Times New Roman"/>
                <w:b/>
                <w:bCs/>
                <w:sz w:val="14"/>
                <w:szCs w:val="14"/>
              </w:rPr>
              <w:t xml:space="preserve"> cap</w:t>
            </w:r>
            <w:r w:rsidR="009A61A6">
              <w:rPr>
                <w:rFonts w:ascii="Times New Roman" w:hAnsi="Times New Roman" w:cs="Times New Roman"/>
                <w:b/>
                <w:bCs/>
                <w:sz w:val="14"/>
                <w:szCs w:val="14"/>
              </w:rPr>
              <w:t>.</w:t>
            </w:r>
            <w:r>
              <w:rPr>
                <w:rFonts w:ascii="Times New Roman" w:hAnsi="Times New Roman" w:cs="Times New Roman"/>
                <w:b/>
                <w:bCs/>
                <w:sz w:val="14"/>
                <w:szCs w:val="14"/>
              </w:rPr>
              <w:t xml:space="preserve"> cost, </w:t>
            </w:r>
            <w:r w:rsidR="00270F08">
              <w:rPr>
                <w:rFonts w:ascii="Times New Roman" w:hAnsi="Times New Roman" w:cs="Times New Roman"/>
                <w:b/>
                <w:bCs/>
                <w:sz w:val="14"/>
                <w:szCs w:val="14"/>
              </w:rPr>
              <w:t>€</w:t>
            </w:r>
            <w:r>
              <w:rPr>
                <w:rFonts w:ascii="Times New Roman" w:hAnsi="Times New Roman" w:cs="Times New Roman"/>
                <w:b/>
                <w:bCs/>
                <w:sz w:val="14"/>
                <w:szCs w:val="14"/>
              </w:rPr>
              <w:t>/t CO2</w:t>
            </w:r>
          </w:p>
        </w:tc>
      </w:tr>
      <w:tr w:rsidR="009A61A6" w:rsidRPr="00811E07" w14:paraId="55C2794C" w14:textId="41A53271" w:rsidTr="00A02D35">
        <w:tc>
          <w:tcPr>
            <w:tcW w:w="1418" w:type="dxa"/>
            <w:tcBorders>
              <w:top w:val="single" w:sz="4" w:space="0" w:color="auto"/>
              <w:left w:val="nil"/>
              <w:bottom w:val="nil"/>
              <w:right w:val="nil"/>
            </w:tcBorders>
          </w:tcPr>
          <w:p w14:paraId="0E89492E" w14:textId="77777777" w:rsidR="003F18C5" w:rsidRPr="00610FED" w:rsidRDefault="003F18C5" w:rsidP="003F18C5">
            <w:pPr>
              <w:rPr>
                <w:rFonts w:ascii="Times New Roman" w:hAnsi="Times New Roman" w:cs="Times New Roman"/>
                <w:sz w:val="14"/>
                <w:szCs w:val="14"/>
              </w:rPr>
            </w:pPr>
            <w:r w:rsidRPr="00610FED">
              <w:rPr>
                <w:rFonts w:ascii="Times New Roman" w:hAnsi="Times New Roman" w:cs="Times New Roman"/>
                <w:sz w:val="14"/>
                <w:szCs w:val="14"/>
              </w:rPr>
              <w:t>SMR+CC</w:t>
            </w:r>
          </w:p>
        </w:tc>
        <w:tc>
          <w:tcPr>
            <w:tcW w:w="1276" w:type="dxa"/>
            <w:tcBorders>
              <w:top w:val="single" w:sz="4" w:space="0" w:color="auto"/>
              <w:left w:val="nil"/>
              <w:bottom w:val="nil"/>
              <w:right w:val="nil"/>
            </w:tcBorders>
          </w:tcPr>
          <w:p w14:paraId="612501B6" w14:textId="479221F1" w:rsidR="003F18C5" w:rsidRPr="00610FED" w:rsidDel="003F18C5" w:rsidRDefault="003F18C5" w:rsidP="003F18C5">
            <w:pPr>
              <w:jc w:val="center"/>
              <w:rPr>
                <w:sz w:val="14"/>
                <w:szCs w:val="14"/>
              </w:rPr>
            </w:pPr>
            <w:r w:rsidRPr="00610FED">
              <w:rPr>
                <w:rFonts w:ascii="Times New Roman" w:hAnsi="Times New Roman" w:cs="Times New Roman"/>
                <w:sz w:val="14"/>
                <w:szCs w:val="14"/>
              </w:rPr>
              <w:t>3-6</w:t>
            </w:r>
          </w:p>
        </w:tc>
        <w:tc>
          <w:tcPr>
            <w:tcW w:w="713" w:type="dxa"/>
            <w:tcBorders>
              <w:top w:val="single" w:sz="4" w:space="0" w:color="auto"/>
              <w:left w:val="nil"/>
              <w:bottom w:val="nil"/>
              <w:right w:val="nil"/>
            </w:tcBorders>
            <w:vAlign w:val="center"/>
          </w:tcPr>
          <w:p w14:paraId="1EBC1EAD" w14:textId="68B4ECD2" w:rsidR="003F18C5" w:rsidRPr="00610FED" w:rsidRDefault="003F18C5" w:rsidP="003F18C5">
            <w:pPr>
              <w:jc w:val="center"/>
              <w:rPr>
                <w:sz w:val="14"/>
                <w:szCs w:val="14"/>
              </w:rPr>
            </w:pPr>
            <w:r w:rsidRPr="00610FED">
              <w:rPr>
                <w:rFonts w:ascii="Times New Roman" w:hAnsi="Times New Roman" w:cs="Times New Roman"/>
                <w:sz w:val="14"/>
                <w:szCs w:val="14"/>
              </w:rPr>
              <w:t>ADIP-X</w:t>
            </w:r>
            <w:r>
              <w:rPr>
                <w:rFonts w:ascii="Times New Roman" w:hAnsi="Times New Roman" w:cs="Times New Roman"/>
                <w:sz w:val="14"/>
                <w:szCs w:val="14"/>
              </w:rPr>
              <w:t>. 50% wt.</w:t>
            </w:r>
          </w:p>
        </w:tc>
        <w:tc>
          <w:tcPr>
            <w:tcW w:w="1271" w:type="dxa"/>
            <w:tcBorders>
              <w:top w:val="single" w:sz="4" w:space="0" w:color="auto"/>
              <w:left w:val="nil"/>
              <w:bottom w:val="nil"/>
              <w:right w:val="nil"/>
            </w:tcBorders>
            <w:vAlign w:val="center"/>
          </w:tcPr>
          <w:p w14:paraId="7FEE29EC" w14:textId="77777777" w:rsidR="003F18C5" w:rsidRPr="00A02D35" w:rsidRDefault="003F18C5" w:rsidP="003F18C5">
            <w:pPr>
              <w:jc w:val="center"/>
              <w:rPr>
                <w:rFonts w:ascii="Times New Roman" w:hAnsi="Times New Roman" w:cs="Times New Roman"/>
                <w:sz w:val="14"/>
                <w:szCs w:val="14"/>
              </w:rPr>
            </w:pPr>
            <w:r w:rsidRPr="007E19BA">
              <w:rPr>
                <w:sz w:val="14"/>
                <w:szCs w:val="14"/>
              </w:rPr>
              <w:t>2.1</w:t>
            </w:r>
          </w:p>
          <w:p w14:paraId="31F18D71" w14:textId="6ECB49AD" w:rsidR="003F18C5" w:rsidRPr="00A02D35" w:rsidRDefault="003F18C5" w:rsidP="003F18C5">
            <w:pPr>
              <w:jc w:val="center"/>
              <w:rPr>
                <w:rFonts w:ascii="Times New Roman" w:hAnsi="Times New Roman" w:cs="Times New Roman"/>
                <w:sz w:val="14"/>
                <w:szCs w:val="14"/>
              </w:rPr>
            </w:pPr>
            <w:r w:rsidRPr="007E19BA">
              <w:rPr>
                <w:sz w:val="14"/>
                <w:szCs w:val="14"/>
              </w:rPr>
              <w:t xml:space="preserve">(Absorber= 2.7 </w:t>
            </w:r>
            <w:proofErr w:type="spellStart"/>
            <w:r w:rsidRPr="007E19BA">
              <w:rPr>
                <w:sz w:val="14"/>
                <w:szCs w:val="14"/>
              </w:rPr>
              <w:t>barg</w:t>
            </w:r>
            <w:proofErr w:type="spellEnd"/>
            <w:r w:rsidRPr="007E19BA">
              <w:rPr>
                <w:sz w:val="14"/>
                <w:szCs w:val="14"/>
              </w:rPr>
              <w:t>)</w:t>
            </w:r>
          </w:p>
        </w:tc>
        <w:tc>
          <w:tcPr>
            <w:tcW w:w="1139" w:type="dxa"/>
            <w:tcBorders>
              <w:top w:val="single" w:sz="4" w:space="0" w:color="auto"/>
              <w:left w:val="nil"/>
              <w:bottom w:val="nil"/>
              <w:right w:val="nil"/>
            </w:tcBorders>
            <w:vAlign w:val="center"/>
          </w:tcPr>
          <w:p w14:paraId="07D6774C" w14:textId="77777777" w:rsidR="003F18C5" w:rsidRPr="00A02D35" w:rsidRDefault="003F18C5" w:rsidP="003F18C5">
            <w:pPr>
              <w:jc w:val="center"/>
              <w:rPr>
                <w:rFonts w:ascii="Times New Roman" w:hAnsi="Times New Roman" w:cs="Times New Roman"/>
                <w:sz w:val="14"/>
                <w:szCs w:val="14"/>
              </w:rPr>
            </w:pPr>
            <w:r w:rsidRPr="007E19BA">
              <w:rPr>
                <w:sz w:val="14"/>
                <w:szCs w:val="14"/>
              </w:rPr>
              <w:t>1.97</w:t>
            </w:r>
          </w:p>
          <w:p w14:paraId="1ACC038A" w14:textId="49AB656B" w:rsidR="003F18C5" w:rsidRPr="00A02D35" w:rsidRDefault="003F18C5" w:rsidP="003F18C5">
            <w:pPr>
              <w:jc w:val="center"/>
              <w:rPr>
                <w:rFonts w:ascii="Times New Roman" w:hAnsi="Times New Roman" w:cs="Times New Roman"/>
                <w:sz w:val="14"/>
                <w:szCs w:val="14"/>
              </w:rPr>
            </w:pPr>
            <w:r w:rsidRPr="007E19BA">
              <w:rPr>
                <w:sz w:val="14"/>
                <w:szCs w:val="14"/>
              </w:rPr>
              <w:t>(</w:t>
            </w:r>
            <w:proofErr w:type="spellStart"/>
            <w:r w:rsidRPr="007E19BA">
              <w:rPr>
                <w:sz w:val="14"/>
                <w:szCs w:val="14"/>
              </w:rPr>
              <w:t>Desorber</w:t>
            </w:r>
            <w:proofErr w:type="spellEnd"/>
            <w:r w:rsidRPr="007E19BA">
              <w:rPr>
                <w:sz w:val="14"/>
                <w:szCs w:val="14"/>
              </w:rPr>
              <w:t xml:space="preserve">= 1.9 </w:t>
            </w:r>
            <w:proofErr w:type="spellStart"/>
            <w:r w:rsidRPr="007E19BA">
              <w:rPr>
                <w:sz w:val="14"/>
                <w:szCs w:val="14"/>
              </w:rPr>
              <w:t>barg</w:t>
            </w:r>
            <w:proofErr w:type="spellEnd"/>
            <w:r w:rsidRPr="007E19BA">
              <w:rPr>
                <w:sz w:val="14"/>
                <w:szCs w:val="14"/>
              </w:rPr>
              <w:t>/ 115 C)</w:t>
            </w:r>
          </w:p>
        </w:tc>
        <w:tc>
          <w:tcPr>
            <w:tcW w:w="709" w:type="dxa"/>
            <w:tcBorders>
              <w:top w:val="single" w:sz="4" w:space="0" w:color="auto"/>
              <w:left w:val="nil"/>
              <w:bottom w:val="nil"/>
              <w:right w:val="nil"/>
            </w:tcBorders>
            <w:vAlign w:val="center"/>
          </w:tcPr>
          <w:p w14:paraId="1618449C" w14:textId="2361AB32" w:rsidR="003F18C5" w:rsidRPr="007E19BA" w:rsidRDefault="00270F08" w:rsidP="003F18C5">
            <w:pPr>
              <w:jc w:val="center"/>
              <w:rPr>
                <w:rFonts w:ascii="Times New Roman" w:hAnsi="Times New Roman" w:cs="Times New Roman"/>
                <w:sz w:val="14"/>
                <w:szCs w:val="14"/>
              </w:rPr>
            </w:pPr>
            <w:r w:rsidRPr="007E19BA">
              <w:rPr>
                <w:rFonts w:ascii="Times New Roman" w:hAnsi="Times New Roman" w:cs="Times New Roman"/>
                <w:sz w:val="14"/>
                <w:szCs w:val="14"/>
              </w:rPr>
              <w:t>124.4</w:t>
            </w:r>
          </w:p>
        </w:tc>
        <w:tc>
          <w:tcPr>
            <w:tcW w:w="845" w:type="dxa"/>
            <w:tcBorders>
              <w:top w:val="single" w:sz="4" w:space="0" w:color="auto"/>
              <w:left w:val="nil"/>
              <w:bottom w:val="nil"/>
              <w:right w:val="nil"/>
            </w:tcBorders>
            <w:vAlign w:val="center"/>
          </w:tcPr>
          <w:p w14:paraId="3C0CE538" w14:textId="74F14FAA" w:rsidR="003F18C5" w:rsidRPr="007E19BA" w:rsidRDefault="00963BA9" w:rsidP="003F18C5">
            <w:pPr>
              <w:jc w:val="center"/>
              <w:rPr>
                <w:rFonts w:ascii="Times New Roman" w:hAnsi="Times New Roman" w:cs="Times New Roman"/>
                <w:sz w:val="14"/>
                <w:szCs w:val="14"/>
              </w:rPr>
            </w:pPr>
            <w:r w:rsidRPr="007E19BA">
              <w:rPr>
                <w:rFonts w:ascii="Times New Roman" w:hAnsi="Times New Roman" w:cs="Times New Roman"/>
                <w:sz w:val="14"/>
                <w:szCs w:val="14"/>
              </w:rPr>
              <w:t>54</w:t>
            </w:r>
          </w:p>
        </w:tc>
      </w:tr>
      <w:tr w:rsidR="003F18C5" w:rsidRPr="00811E07" w14:paraId="3AE2B009" w14:textId="30DB94A7" w:rsidTr="00A02D35">
        <w:tc>
          <w:tcPr>
            <w:tcW w:w="1418" w:type="dxa"/>
            <w:tcBorders>
              <w:top w:val="nil"/>
              <w:left w:val="nil"/>
              <w:bottom w:val="nil"/>
              <w:right w:val="nil"/>
            </w:tcBorders>
          </w:tcPr>
          <w:p w14:paraId="20B43E4A" w14:textId="77777777" w:rsidR="003F18C5" w:rsidRPr="00610FED" w:rsidRDefault="003F18C5" w:rsidP="003F18C5">
            <w:pPr>
              <w:rPr>
                <w:rFonts w:ascii="Times New Roman" w:hAnsi="Times New Roman" w:cs="Times New Roman"/>
                <w:sz w:val="14"/>
                <w:szCs w:val="14"/>
              </w:rPr>
            </w:pPr>
            <w:r w:rsidRPr="00610FED">
              <w:rPr>
                <w:rFonts w:ascii="Times New Roman" w:hAnsi="Times New Roman" w:cs="Times New Roman"/>
                <w:sz w:val="14"/>
                <w:szCs w:val="14"/>
              </w:rPr>
              <w:t>SMR+CC</w:t>
            </w:r>
          </w:p>
        </w:tc>
        <w:tc>
          <w:tcPr>
            <w:tcW w:w="1276" w:type="dxa"/>
            <w:tcBorders>
              <w:top w:val="nil"/>
              <w:left w:val="nil"/>
              <w:bottom w:val="nil"/>
              <w:right w:val="nil"/>
            </w:tcBorders>
          </w:tcPr>
          <w:p w14:paraId="468AF942" w14:textId="4C2CF19E" w:rsidR="003F18C5" w:rsidRPr="00610FED" w:rsidDel="003F18C5" w:rsidRDefault="003F18C5" w:rsidP="003F18C5">
            <w:pPr>
              <w:jc w:val="center"/>
              <w:rPr>
                <w:sz w:val="14"/>
                <w:szCs w:val="14"/>
              </w:rPr>
            </w:pPr>
            <w:r w:rsidRPr="00610FED">
              <w:rPr>
                <w:rFonts w:ascii="Times New Roman" w:hAnsi="Times New Roman" w:cs="Times New Roman"/>
                <w:sz w:val="14"/>
                <w:szCs w:val="14"/>
              </w:rPr>
              <w:t>0.08</w:t>
            </w:r>
          </w:p>
        </w:tc>
        <w:tc>
          <w:tcPr>
            <w:tcW w:w="713" w:type="dxa"/>
            <w:vMerge w:val="restart"/>
            <w:tcBorders>
              <w:top w:val="nil"/>
              <w:left w:val="nil"/>
              <w:bottom w:val="nil"/>
              <w:right w:val="nil"/>
            </w:tcBorders>
            <w:vAlign w:val="center"/>
          </w:tcPr>
          <w:p w14:paraId="5490767C" w14:textId="5A91682A" w:rsidR="003F18C5" w:rsidRPr="00610FED" w:rsidRDefault="003F18C5" w:rsidP="00C1260B">
            <w:pPr>
              <w:jc w:val="center"/>
              <w:rPr>
                <w:sz w:val="14"/>
                <w:szCs w:val="14"/>
              </w:rPr>
            </w:pPr>
            <w:r w:rsidRPr="0075585B">
              <w:rPr>
                <w:rFonts w:ascii="Times New Roman" w:hAnsi="Times New Roman" w:cs="Times New Roman"/>
                <w:sz w:val="14"/>
                <w:szCs w:val="14"/>
              </w:rPr>
              <w:t>MEA. 30% wt</w:t>
            </w:r>
            <w:r>
              <w:rPr>
                <w:rFonts w:ascii="Times New Roman" w:hAnsi="Times New Roman" w:cs="Times New Roman"/>
                <w:sz w:val="14"/>
                <w:szCs w:val="14"/>
              </w:rPr>
              <w:t>.</w:t>
            </w:r>
          </w:p>
        </w:tc>
        <w:tc>
          <w:tcPr>
            <w:tcW w:w="1271" w:type="dxa"/>
            <w:vMerge w:val="restart"/>
            <w:tcBorders>
              <w:top w:val="nil"/>
              <w:left w:val="nil"/>
              <w:bottom w:val="nil"/>
              <w:right w:val="nil"/>
            </w:tcBorders>
            <w:vAlign w:val="center"/>
          </w:tcPr>
          <w:p w14:paraId="7852F5EF" w14:textId="77777777" w:rsidR="003F18C5" w:rsidRPr="00A02D35" w:rsidRDefault="003F18C5" w:rsidP="003F18C5">
            <w:pPr>
              <w:jc w:val="center"/>
              <w:rPr>
                <w:rFonts w:ascii="Times New Roman" w:hAnsi="Times New Roman" w:cs="Times New Roman"/>
                <w:sz w:val="14"/>
                <w:szCs w:val="14"/>
              </w:rPr>
            </w:pPr>
            <w:r w:rsidRPr="007E19BA">
              <w:rPr>
                <w:sz w:val="14"/>
                <w:szCs w:val="14"/>
              </w:rPr>
              <w:t>64.55 (HC)</w:t>
            </w:r>
          </w:p>
          <w:p w14:paraId="21B1DA59" w14:textId="77777777" w:rsidR="003F18C5" w:rsidRPr="00A02D35" w:rsidRDefault="003F18C5" w:rsidP="003F18C5">
            <w:pPr>
              <w:jc w:val="center"/>
              <w:rPr>
                <w:rFonts w:ascii="Times New Roman" w:hAnsi="Times New Roman" w:cs="Times New Roman"/>
                <w:sz w:val="14"/>
                <w:szCs w:val="14"/>
              </w:rPr>
            </w:pPr>
            <w:r w:rsidRPr="007E19BA">
              <w:rPr>
                <w:sz w:val="14"/>
                <w:szCs w:val="14"/>
              </w:rPr>
              <w:t>58.25 (MC)</w:t>
            </w:r>
          </w:p>
          <w:p w14:paraId="451E4984" w14:textId="77777777" w:rsidR="003F18C5" w:rsidRPr="00A02D35" w:rsidRDefault="003F18C5" w:rsidP="003F18C5">
            <w:pPr>
              <w:jc w:val="center"/>
              <w:rPr>
                <w:rFonts w:ascii="Times New Roman" w:hAnsi="Times New Roman" w:cs="Times New Roman"/>
                <w:sz w:val="14"/>
                <w:szCs w:val="14"/>
              </w:rPr>
            </w:pPr>
          </w:p>
        </w:tc>
        <w:tc>
          <w:tcPr>
            <w:tcW w:w="1139" w:type="dxa"/>
            <w:vMerge w:val="restart"/>
            <w:tcBorders>
              <w:top w:val="nil"/>
              <w:left w:val="nil"/>
              <w:bottom w:val="nil"/>
              <w:right w:val="nil"/>
            </w:tcBorders>
            <w:vAlign w:val="center"/>
          </w:tcPr>
          <w:p w14:paraId="3F123A03" w14:textId="77777777" w:rsidR="003F18C5" w:rsidRPr="00A02D35" w:rsidRDefault="003F18C5" w:rsidP="003F18C5">
            <w:pPr>
              <w:jc w:val="center"/>
              <w:rPr>
                <w:rFonts w:ascii="Times New Roman" w:hAnsi="Times New Roman" w:cs="Times New Roman"/>
                <w:sz w:val="14"/>
                <w:szCs w:val="14"/>
              </w:rPr>
            </w:pPr>
            <w:r w:rsidRPr="007E19BA">
              <w:rPr>
                <w:sz w:val="14"/>
                <w:szCs w:val="14"/>
              </w:rPr>
              <w:t>3.68 (HC)</w:t>
            </w:r>
          </w:p>
          <w:p w14:paraId="394848FA" w14:textId="77777777" w:rsidR="003F18C5" w:rsidRPr="00A02D35" w:rsidRDefault="003F18C5" w:rsidP="003F18C5">
            <w:pPr>
              <w:jc w:val="center"/>
              <w:rPr>
                <w:rFonts w:ascii="Times New Roman" w:hAnsi="Times New Roman" w:cs="Times New Roman"/>
                <w:sz w:val="14"/>
                <w:szCs w:val="14"/>
              </w:rPr>
            </w:pPr>
            <w:r w:rsidRPr="007E19BA">
              <w:rPr>
                <w:sz w:val="14"/>
                <w:szCs w:val="14"/>
              </w:rPr>
              <w:t>3.65 (MC)</w:t>
            </w:r>
          </w:p>
          <w:p w14:paraId="35F717F5" w14:textId="77777777" w:rsidR="003F18C5" w:rsidRPr="00A02D35" w:rsidRDefault="003F18C5" w:rsidP="003F18C5">
            <w:pPr>
              <w:jc w:val="center"/>
              <w:rPr>
                <w:rFonts w:ascii="Times New Roman" w:hAnsi="Times New Roman" w:cs="Times New Roman"/>
                <w:sz w:val="14"/>
                <w:szCs w:val="14"/>
              </w:rPr>
            </w:pPr>
          </w:p>
        </w:tc>
        <w:tc>
          <w:tcPr>
            <w:tcW w:w="709" w:type="dxa"/>
            <w:vMerge w:val="restart"/>
            <w:tcBorders>
              <w:top w:val="nil"/>
              <w:left w:val="nil"/>
              <w:bottom w:val="nil"/>
              <w:right w:val="nil"/>
            </w:tcBorders>
            <w:vAlign w:val="center"/>
          </w:tcPr>
          <w:p w14:paraId="58C8FA6D" w14:textId="688A16EE" w:rsidR="003F18C5" w:rsidRPr="007E19BA" w:rsidRDefault="003F18C5" w:rsidP="003F18C5">
            <w:pPr>
              <w:jc w:val="center"/>
              <w:rPr>
                <w:rFonts w:ascii="Times New Roman" w:hAnsi="Times New Roman" w:cs="Times New Roman"/>
                <w:sz w:val="14"/>
                <w:szCs w:val="14"/>
              </w:rPr>
            </w:pPr>
          </w:p>
          <w:p w14:paraId="313C1837" w14:textId="149E9124" w:rsidR="003F18C5" w:rsidRPr="007E19BA" w:rsidRDefault="003F18C5" w:rsidP="003F18C5">
            <w:pPr>
              <w:jc w:val="center"/>
              <w:rPr>
                <w:rFonts w:ascii="Times New Roman" w:hAnsi="Times New Roman" w:cs="Times New Roman"/>
                <w:sz w:val="14"/>
                <w:szCs w:val="14"/>
              </w:rPr>
            </w:pPr>
          </w:p>
          <w:p w14:paraId="012F1C94" w14:textId="0F649AAF" w:rsidR="003F18C5" w:rsidRPr="007E19BA" w:rsidRDefault="00963BA9" w:rsidP="003F18C5">
            <w:pPr>
              <w:jc w:val="center"/>
              <w:rPr>
                <w:rFonts w:ascii="Times New Roman" w:hAnsi="Times New Roman" w:cs="Times New Roman"/>
                <w:sz w:val="14"/>
                <w:szCs w:val="14"/>
              </w:rPr>
            </w:pPr>
            <w:r w:rsidRPr="007E19BA">
              <w:rPr>
                <w:rFonts w:ascii="Times New Roman" w:hAnsi="Times New Roman" w:cs="Times New Roman"/>
                <w:sz w:val="14"/>
                <w:szCs w:val="14"/>
              </w:rPr>
              <w:t>142</w:t>
            </w:r>
          </w:p>
          <w:p w14:paraId="0768006F" w14:textId="218EF741" w:rsidR="003F18C5" w:rsidRPr="007E19BA" w:rsidRDefault="003F18C5" w:rsidP="003F18C5">
            <w:pPr>
              <w:jc w:val="center"/>
              <w:rPr>
                <w:rFonts w:ascii="Times New Roman" w:hAnsi="Times New Roman" w:cs="Times New Roman"/>
                <w:sz w:val="14"/>
                <w:szCs w:val="14"/>
              </w:rPr>
            </w:pPr>
          </w:p>
          <w:p w14:paraId="7ED16AE3" w14:textId="04B03DA0" w:rsidR="003F18C5" w:rsidRPr="007E19BA" w:rsidRDefault="003F18C5" w:rsidP="003F18C5">
            <w:pPr>
              <w:jc w:val="center"/>
              <w:rPr>
                <w:rFonts w:ascii="Times New Roman" w:hAnsi="Times New Roman" w:cs="Times New Roman"/>
                <w:sz w:val="14"/>
                <w:szCs w:val="14"/>
              </w:rPr>
            </w:pPr>
          </w:p>
        </w:tc>
        <w:tc>
          <w:tcPr>
            <w:tcW w:w="845" w:type="dxa"/>
            <w:vMerge w:val="restart"/>
            <w:tcBorders>
              <w:top w:val="nil"/>
              <w:left w:val="nil"/>
              <w:bottom w:val="nil"/>
              <w:right w:val="nil"/>
            </w:tcBorders>
            <w:vAlign w:val="center"/>
          </w:tcPr>
          <w:p w14:paraId="42FE8FE2" w14:textId="0DC260C4" w:rsidR="003F18C5" w:rsidRPr="007E19BA" w:rsidRDefault="009A61A6" w:rsidP="00A02D35">
            <w:pPr>
              <w:rPr>
                <w:rFonts w:ascii="Times New Roman" w:hAnsi="Times New Roman" w:cs="Times New Roman"/>
                <w:sz w:val="14"/>
                <w:szCs w:val="14"/>
              </w:rPr>
            </w:pPr>
            <w:r w:rsidRPr="007E19BA">
              <w:rPr>
                <w:rFonts w:ascii="Times New Roman" w:hAnsi="Times New Roman" w:cs="Times New Roman"/>
                <w:sz w:val="14"/>
                <w:szCs w:val="14"/>
              </w:rPr>
              <w:t xml:space="preserve">     </w:t>
            </w:r>
            <w:r w:rsidR="00963BA9" w:rsidRPr="007E19BA">
              <w:rPr>
                <w:rFonts w:ascii="Times New Roman" w:hAnsi="Times New Roman" w:cs="Times New Roman"/>
                <w:sz w:val="14"/>
                <w:szCs w:val="14"/>
              </w:rPr>
              <w:t>56.7</w:t>
            </w:r>
          </w:p>
        </w:tc>
      </w:tr>
      <w:tr w:rsidR="003F18C5" w:rsidRPr="00811E07" w14:paraId="72B4F7C1" w14:textId="7CBF5608" w:rsidTr="00A02D35">
        <w:tc>
          <w:tcPr>
            <w:tcW w:w="1418" w:type="dxa"/>
            <w:tcBorders>
              <w:top w:val="nil"/>
              <w:left w:val="nil"/>
              <w:bottom w:val="nil"/>
              <w:right w:val="nil"/>
            </w:tcBorders>
          </w:tcPr>
          <w:p w14:paraId="2588286E" w14:textId="77777777" w:rsidR="003F18C5" w:rsidRPr="00610FED" w:rsidRDefault="003F18C5" w:rsidP="003F18C5">
            <w:pPr>
              <w:rPr>
                <w:rFonts w:ascii="Times New Roman" w:hAnsi="Times New Roman" w:cs="Times New Roman"/>
                <w:sz w:val="14"/>
                <w:szCs w:val="14"/>
              </w:rPr>
            </w:pPr>
            <w:r w:rsidRPr="00610FED">
              <w:rPr>
                <w:rFonts w:ascii="Times New Roman" w:hAnsi="Times New Roman" w:cs="Times New Roman"/>
                <w:sz w:val="14"/>
                <w:szCs w:val="14"/>
              </w:rPr>
              <w:t>Biomass gasification</w:t>
            </w:r>
          </w:p>
        </w:tc>
        <w:tc>
          <w:tcPr>
            <w:tcW w:w="1276" w:type="dxa"/>
            <w:tcBorders>
              <w:top w:val="nil"/>
              <w:left w:val="nil"/>
              <w:bottom w:val="nil"/>
              <w:right w:val="nil"/>
            </w:tcBorders>
          </w:tcPr>
          <w:p w14:paraId="17AB7F60" w14:textId="733E16C8" w:rsidR="003F18C5" w:rsidRPr="00610FED" w:rsidDel="003F18C5" w:rsidRDefault="003F18C5" w:rsidP="003F18C5">
            <w:pPr>
              <w:jc w:val="center"/>
              <w:rPr>
                <w:sz w:val="14"/>
                <w:szCs w:val="14"/>
              </w:rPr>
            </w:pPr>
            <w:r>
              <w:rPr>
                <w:rFonts w:ascii="Times New Roman" w:hAnsi="Times New Roman" w:cs="Times New Roman"/>
                <w:sz w:val="14"/>
                <w:szCs w:val="14"/>
              </w:rPr>
              <w:t>0.1</w:t>
            </w:r>
          </w:p>
        </w:tc>
        <w:tc>
          <w:tcPr>
            <w:tcW w:w="713" w:type="dxa"/>
            <w:vMerge/>
            <w:tcBorders>
              <w:top w:val="nil"/>
              <w:left w:val="nil"/>
              <w:right w:val="nil"/>
            </w:tcBorders>
          </w:tcPr>
          <w:p w14:paraId="4A84FAE9" w14:textId="77777777" w:rsidR="003F18C5" w:rsidRPr="00610FED" w:rsidDel="00610926" w:rsidRDefault="003F18C5" w:rsidP="003F18C5">
            <w:pPr>
              <w:jc w:val="center"/>
              <w:rPr>
                <w:sz w:val="14"/>
                <w:szCs w:val="14"/>
              </w:rPr>
            </w:pPr>
          </w:p>
        </w:tc>
        <w:tc>
          <w:tcPr>
            <w:tcW w:w="1271" w:type="dxa"/>
            <w:vMerge/>
            <w:tcBorders>
              <w:top w:val="nil"/>
              <w:left w:val="nil"/>
              <w:right w:val="nil"/>
            </w:tcBorders>
          </w:tcPr>
          <w:p w14:paraId="6A9A8D6A" w14:textId="77777777" w:rsidR="003F18C5" w:rsidRPr="00610FED" w:rsidDel="00610926" w:rsidRDefault="003F18C5" w:rsidP="003F18C5">
            <w:pPr>
              <w:jc w:val="center"/>
              <w:rPr>
                <w:sz w:val="14"/>
                <w:szCs w:val="14"/>
              </w:rPr>
            </w:pPr>
          </w:p>
        </w:tc>
        <w:tc>
          <w:tcPr>
            <w:tcW w:w="1139" w:type="dxa"/>
            <w:vMerge/>
            <w:tcBorders>
              <w:top w:val="nil"/>
              <w:left w:val="nil"/>
              <w:right w:val="nil"/>
            </w:tcBorders>
          </w:tcPr>
          <w:p w14:paraId="4630145E" w14:textId="77777777" w:rsidR="003F18C5" w:rsidRPr="00610FED" w:rsidDel="00610926" w:rsidRDefault="003F18C5" w:rsidP="003F18C5">
            <w:pPr>
              <w:jc w:val="center"/>
              <w:rPr>
                <w:sz w:val="14"/>
                <w:szCs w:val="14"/>
              </w:rPr>
            </w:pPr>
          </w:p>
        </w:tc>
        <w:tc>
          <w:tcPr>
            <w:tcW w:w="709" w:type="dxa"/>
            <w:vMerge/>
            <w:tcBorders>
              <w:top w:val="nil"/>
              <w:left w:val="nil"/>
              <w:bottom w:val="nil"/>
              <w:right w:val="nil"/>
            </w:tcBorders>
          </w:tcPr>
          <w:p w14:paraId="230F2819" w14:textId="7DAC5F17" w:rsidR="003F18C5" w:rsidRPr="00610FED" w:rsidRDefault="003F18C5" w:rsidP="003F18C5">
            <w:pPr>
              <w:jc w:val="center"/>
              <w:rPr>
                <w:rFonts w:ascii="Times New Roman" w:hAnsi="Times New Roman" w:cs="Times New Roman"/>
                <w:sz w:val="14"/>
                <w:szCs w:val="14"/>
              </w:rPr>
            </w:pPr>
          </w:p>
        </w:tc>
        <w:tc>
          <w:tcPr>
            <w:tcW w:w="845" w:type="dxa"/>
            <w:vMerge/>
            <w:tcBorders>
              <w:top w:val="nil"/>
              <w:left w:val="nil"/>
              <w:bottom w:val="nil"/>
              <w:right w:val="nil"/>
            </w:tcBorders>
          </w:tcPr>
          <w:p w14:paraId="1782098C" w14:textId="679B71FC" w:rsidR="003F18C5" w:rsidRPr="00610FED" w:rsidRDefault="003F18C5" w:rsidP="003F18C5">
            <w:pPr>
              <w:jc w:val="center"/>
              <w:rPr>
                <w:rFonts w:ascii="Times New Roman" w:hAnsi="Times New Roman" w:cs="Times New Roman"/>
                <w:sz w:val="14"/>
                <w:szCs w:val="14"/>
              </w:rPr>
            </w:pPr>
          </w:p>
        </w:tc>
      </w:tr>
      <w:tr w:rsidR="003F18C5" w:rsidRPr="00811E07" w14:paraId="5EE61F4E" w14:textId="695612FC" w:rsidTr="00A02D35">
        <w:tc>
          <w:tcPr>
            <w:tcW w:w="1418" w:type="dxa"/>
            <w:tcBorders>
              <w:top w:val="nil"/>
              <w:left w:val="nil"/>
              <w:bottom w:val="nil"/>
              <w:right w:val="nil"/>
            </w:tcBorders>
          </w:tcPr>
          <w:p w14:paraId="23919449" w14:textId="77777777" w:rsidR="003F18C5" w:rsidRPr="00610FED" w:rsidRDefault="003F18C5" w:rsidP="003F18C5">
            <w:pPr>
              <w:rPr>
                <w:rFonts w:ascii="Times New Roman" w:hAnsi="Times New Roman" w:cs="Times New Roman"/>
                <w:sz w:val="14"/>
                <w:szCs w:val="14"/>
              </w:rPr>
            </w:pPr>
            <w:r w:rsidRPr="00610FED">
              <w:rPr>
                <w:rFonts w:ascii="Times New Roman" w:hAnsi="Times New Roman" w:cs="Times New Roman"/>
                <w:sz w:val="14"/>
                <w:szCs w:val="14"/>
              </w:rPr>
              <w:t>Boilers</w:t>
            </w:r>
          </w:p>
        </w:tc>
        <w:tc>
          <w:tcPr>
            <w:tcW w:w="1276" w:type="dxa"/>
            <w:tcBorders>
              <w:top w:val="nil"/>
              <w:left w:val="nil"/>
              <w:bottom w:val="nil"/>
              <w:right w:val="nil"/>
            </w:tcBorders>
          </w:tcPr>
          <w:p w14:paraId="6D9BF7FC" w14:textId="2FFCF570" w:rsidR="003F18C5" w:rsidRPr="00610FED" w:rsidDel="003F18C5" w:rsidRDefault="003F18C5" w:rsidP="003F18C5">
            <w:pPr>
              <w:jc w:val="center"/>
              <w:rPr>
                <w:sz w:val="14"/>
                <w:szCs w:val="14"/>
              </w:rPr>
            </w:pPr>
            <w:r w:rsidRPr="00610FED">
              <w:rPr>
                <w:rFonts w:ascii="Times New Roman" w:hAnsi="Times New Roman" w:cs="Times New Roman"/>
                <w:sz w:val="14"/>
                <w:szCs w:val="14"/>
              </w:rPr>
              <w:t>0.05-0.09</w:t>
            </w:r>
          </w:p>
        </w:tc>
        <w:tc>
          <w:tcPr>
            <w:tcW w:w="713" w:type="dxa"/>
            <w:vMerge/>
            <w:tcBorders>
              <w:left w:val="nil"/>
              <w:right w:val="nil"/>
            </w:tcBorders>
            <w:vAlign w:val="center"/>
          </w:tcPr>
          <w:p w14:paraId="79E5237C" w14:textId="77777777" w:rsidR="003F18C5" w:rsidRPr="00610FED" w:rsidRDefault="003F18C5" w:rsidP="003F18C5">
            <w:pPr>
              <w:jc w:val="center"/>
              <w:rPr>
                <w:sz w:val="14"/>
                <w:szCs w:val="14"/>
              </w:rPr>
            </w:pPr>
          </w:p>
        </w:tc>
        <w:tc>
          <w:tcPr>
            <w:tcW w:w="1271" w:type="dxa"/>
            <w:vMerge/>
            <w:tcBorders>
              <w:left w:val="nil"/>
              <w:right w:val="nil"/>
            </w:tcBorders>
            <w:vAlign w:val="center"/>
          </w:tcPr>
          <w:p w14:paraId="668F4248" w14:textId="77777777" w:rsidR="003F18C5" w:rsidRPr="00610FED" w:rsidRDefault="003F18C5" w:rsidP="003F18C5">
            <w:pPr>
              <w:jc w:val="center"/>
              <w:rPr>
                <w:sz w:val="14"/>
                <w:szCs w:val="14"/>
              </w:rPr>
            </w:pPr>
          </w:p>
        </w:tc>
        <w:tc>
          <w:tcPr>
            <w:tcW w:w="1139" w:type="dxa"/>
            <w:vMerge/>
            <w:tcBorders>
              <w:left w:val="nil"/>
              <w:right w:val="nil"/>
            </w:tcBorders>
            <w:vAlign w:val="center"/>
          </w:tcPr>
          <w:p w14:paraId="20EEB646" w14:textId="77777777" w:rsidR="003F18C5" w:rsidRPr="00610FED" w:rsidRDefault="003F18C5" w:rsidP="003F18C5">
            <w:pPr>
              <w:jc w:val="center"/>
              <w:rPr>
                <w:sz w:val="14"/>
                <w:szCs w:val="14"/>
              </w:rPr>
            </w:pPr>
          </w:p>
        </w:tc>
        <w:tc>
          <w:tcPr>
            <w:tcW w:w="709" w:type="dxa"/>
            <w:vMerge/>
            <w:tcBorders>
              <w:top w:val="nil"/>
              <w:left w:val="nil"/>
              <w:bottom w:val="nil"/>
              <w:right w:val="nil"/>
            </w:tcBorders>
          </w:tcPr>
          <w:p w14:paraId="4C4C881D" w14:textId="7637B3C1" w:rsidR="003F18C5" w:rsidRPr="00610FED" w:rsidRDefault="003F18C5" w:rsidP="003F18C5">
            <w:pPr>
              <w:jc w:val="center"/>
              <w:rPr>
                <w:rFonts w:ascii="Times New Roman" w:hAnsi="Times New Roman" w:cs="Times New Roman"/>
                <w:sz w:val="14"/>
                <w:szCs w:val="14"/>
              </w:rPr>
            </w:pPr>
          </w:p>
        </w:tc>
        <w:tc>
          <w:tcPr>
            <w:tcW w:w="845" w:type="dxa"/>
            <w:vMerge/>
            <w:tcBorders>
              <w:top w:val="nil"/>
              <w:left w:val="nil"/>
              <w:bottom w:val="nil"/>
              <w:right w:val="nil"/>
            </w:tcBorders>
            <w:vAlign w:val="center"/>
          </w:tcPr>
          <w:p w14:paraId="2F0E9E92" w14:textId="7BF9C884" w:rsidR="003F18C5" w:rsidRPr="00610FED" w:rsidRDefault="003F18C5" w:rsidP="003F18C5">
            <w:pPr>
              <w:jc w:val="center"/>
              <w:rPr>
                <w:rFonts w:ascii="Times New Roman" w:hAnsi="Times New Roman" w:cs="Times New Roman"/>
                <w:sz w:val="14"/>
                <w:szCs w:val="14"/>
              </w:rPr>
            </w:pPr>
          </w:p>
        </w:tc>
      </w:tr>
      <w:tr w:rsidR="003F18C5" w:rsidRPr="00811E07" w14:paraId="42182445" w14:textId="32C6B7CB" w:rsidTr="00A02D35">
        <w:tc>
          <w:tcPr>
            <w:tcW w:w="1418" w:type="dxa"/>
            <w:tcBorders>
              <w:top w:val="nil"/>
              <w:left w:val="nil"/>
              <w:bottom w:val="nil"/>
              <w:right w:val="nil"/>
            </w:tcBorders>
          </w:tcPr>
          <w:p w14:paraId="3D4BCC20" w14:textId="77777777" w:rsidR="003F18C5" w:rsidRPr="00610FED" w:rsidRDefault="003F18C5" w:rsidP="003F18C5">
            <w:pPr>
              <w:rPr>
                <w:rFonts w:ascii="Times New Roman" w:hAnsi="Times New Roman" w:cs="Times New Roman"/>
                <w:sz w:val="14"/>
                <w:szCs w:val="14"/>
              </w:rPr>
            </w:pPr>
            <w:r w:rsidRPr="00610FED">
              <w:rPr>
                <w:rFonts w:ascii="Times New Roman" w:hAnsi="Times New Roman" w:cs="Times New Roman"/>
                <w:sz w:val="14"/>
                <w:szCs w:val="14"/>
              </w:rPr>
              <w:t>NGCC-CHP</w:t>
            </w:r>
          </w:p>
        </w:tc>
        <w:tc>
          <w:tcPr>
            <w:tcW w:w="1276" w:type="dxa"/>
            <w:tcBorders>
              <w:top w:val="nil"/>
              <w:left w:val="nil"/>
              <w:bottom w:val="nil"/>
              <w:right w:val="nil"/>
            </w:tcBorders>
          </w:tcPr>
          <w:p w14:paraId="00B03C48" w14:textId="16608A0E" w:rsidR="003F18C5" w:rsidRPr="00610FED" w:rsidDel="003F18C5" w:rsidRDefault="003F18C5" w:rsidP="003F18C5">
            <w:pPr>
              <w:jc w:val="center"/>
              <w:rPr>
                <w:sz w:val="14"/>
                <w:szCs w:val="14"/>
              </w:rPr>
            </w:pPr>
            <w:r w:rsidRPr="00610FED">
              <w:rPr>
                <w:rFonts w:ascii="Times New Roman" w:hAnsi="Times New Roman" w:cs="Times New Roman"/>
                <w:sz w:val="14"/>
                <w:szCs w:val="14"/>
              </w:rPr>
              <w:t>0.043</w:t>
            </w:r>
          </w:p>
        </w:tc>
        <w:tc>
          <w:tcPr>
            <w:tcW w:w="713" w:type="dxa"/>
            <w:vMerge/>
            <w:tcBorders>
              <w:left w:val="nil"/>
              <w:right w:val="nil"/>
            </w:tcBorders>
          </w:tcPr>
          <w:p w14:paraId="4932E1AA" w14:textId="77777777" w:rsidR="003F18C5" w:rsidRPr="00610FED" w:rsidRDefault="003F18C5" w:rsidP="003F18C5">
            <w:pPr>
              <w:jc w:val="center"/>
              <w:rPr>
                <w:sz w:val="14"/>
                <w:szCs w:val="14"/>
              </w:rPr>
            </w:pPr>
          </w:p>
        </w:tc>
        <w:tc>
          <w:tcPr>
            <w:tcW w:w="1271" w:type="dxa"/>
            <w:vMerge/>
            <w:tcBorders>
              <w:left w:val="nil"/>
              <w:right w:val="nil"/>
            </w:tcBorders>
          </w:tcPr>
          <w:p w14:paraId="40080B47" w14:textId="77777777" w:rsidR="003F18C5" w:rsidRPr="00610FED" w:rsidRDefault="003F18C5" w:rsidP="003F18C5">
            <w:pPr>
              <w:jc w:val="center"/>
              <w:rPr>
                <w:sz w:val="14"/>
                <w:szCs w:val="14"/>
              </w:rPr>
            </w:pPr>
          </w:p>
        </w:tc>
        <w:tc>
          <w:tcPr>
            <w:tcW w:w="1139" w:type="dxa"/>
            <w:vMerge/>
            <w:tcBorders>
              <w:left w:val="nil"/>
              <w:right w:val="nil"/>
            </w:tcBorders>
          </w:tcPr>
          <w:p w14:paraId="0FA583E7" w14:textId="77777777" w:rsidR="003F18C5" w:rsidRPr="00610FED" w:rsidRDefault="003F18C5" w:rsidP="003F18C5">
            <w:pPr>
              <w:jc w:val="center"/>
              <w:rPr>
                <w:sz w:val="14"/>
                <w:szCs w:val="14"/>
              </w:rPr>
            </w:pPr>
          </w:p>
        </w:tc>
        <w:tc>
          <w:tcPr>
            <w:tcW w:w="709" w:type="dxa"/>
            <w:vMerge/>
            <w:tcBorders>
              <w:top w:val="nil"/>
              <w:left w:val="nil"/>
              <w:bottom w:val="nil"/>
              <w:right w:val="nil"/>
            </w:tcBorders>
          </w:tcPr>
          <w:p w14:paraId="5A8C13BC" w14:textId="49283DF1" w:rsidR="003F18C5" w:rsidRPr="00610FED" w:rsidRDefault="003F18C5" w:rsidP="003F18C5">
            <w:pPr>
              <w:jc w:val="center"/>
              <w:rPr>
                <w:rFonts w:ascii="Times New Roman" w:hAnsi="Times New Roman" w:cs="Times New Roman"/>
                <w:sz w:val="14"/>
                <w:szCs w:val="14"/>
              </w:rPr>
            </w:pPr>
          </w:p>
        </w:tc>
        <w:tc>
          <w:tcPr>
            <w:tcW w:w="845" w:type="dxa"/>
            <w:vMerge/>
            <w:tcBorders>
              <w:top w:val="nil"/>
              <w:left w:val="nil"/>
              <w:bottom w:val="nil"/>
              <w:right w:val="nil"/>
            </w:tcBorders>
          </w:tcPr>
          <w:p w14:paraId="4ADE02A4" w14:textId="6CE35A66" w:rsidR="003F18C5" w:rsidRPr="00610FED" w:rsidRDefault="003F18C5" w:rsidP="003F18C5">
            <w:pPr>
              <w:jc w:val="center"/>
              <w:rPr>
                <w:rFonts w:ascii="Times New Roman" w:hAnsi="Times New Roman" w:cs="Times New Roman"/>
                <w:sz w:val="14"/>
                <w:szCs w:val="14"/>
              </w:rPr>
            </w:pPr>
          </w:p>
        </w:tc>
      </w:tr>
      <w:tr w:rsidR="003F18C5" w:rsidRPr="00811E07" w14:paraId="5FA3CCCF" w14:textId="02DDE4CC" w:rsidTr="00A02D35">
        <w:tc>
          <w:tcPr>
            <w:tcW w:w="1418" w:type="dxa"/>
            <w:tcBorders>
              <w:top w:val="nil"/>
              <w:left w:val="nil"/>
              <w:bottom w:val="nil"/>
              <w:right w:val="nil"/>
            </w:tcBorders>
          </w:tcPr>
          <w:p w14:paraId="33344AFA" w14:textId="77777777" w:rsidR="003F18C5" w:rsidRPr="00610FED" w:rsidRDefault="003F18C5" w:rsidP="003F18C5">
            <w:pPr>
              <w:rPr>
                <w:rFonts w:ascii="Times New Roman" w:hAnsi="Times New Roman" w:cs="Times New Roman"/>
                <w:sz w:val="14"/>
                <w:szCs w:val="14"/>
              </w:rPr>
            </w:pPr>
            <w:r w:rsidRPr="00610FED">
              <w:rPr>
                <w:rFonts w:ascii="Times New Roman" w:hAnsi="Times New Roman" w:cs="Times New Roman"/>
                <w:sz w:val="14"/>
                <w:szCs w:val="14"/>
              </w:rPr>
              <w:t>Process furnaces</w:t>
            </w:r>
          </w:p>
        </w:tc>
        <w:tc>
          <w:tcPr>
            <w:tcW w:w="1276" w:type="dxa"/>
            <w:tcBorders>
              <w:top w:val="nil"/>
              <w:left w:val="nil"/>
              <w:bottom w:val="nil"/>
              <w:right w:val="nil"/>
            </w:tcBorders>
          </w:tcPr>
          <w:p w14:paraId="58628EFB" w14:textId="109CEFB0" w:rsidR="003F18C5" w:rsidRPr="00610FED" w:rsidDel="003F18C5" w:rsidRDefault="003F18C5" w:rsidP="003F18C5">
            <w:pPr>
              <w:jc w:val="center"/>
              <w:rPr>
                <w:sz w:val="14"/>
                <w:szCs w:val="14"/>
              </w:rPr>
            </w:pPr>
            <w:r w:rsidRPr="00610FED">
              <w:rPr>
                <w:rFonts w:ascii="Times New Roman" w:hAnsi="Times New Roman" w:cs="Times New Roman"/>
                <w:sz w:val="14"/>
                <w:szCs w:val="14"/>
              </w:rPr>
              <w:t>0.08-0.10</w:t>
            </w:r>
          </w:p>
        </w:tc>
        <w:tc>
          <w:tcPr>
            <w:tcW w:w="713" w:type="dxa"/>
            <w:vMerge/>
            <w:tcBorders>
              <w:left w:val="nil"/>
              <w:bottom w:val="nil"/>
              <w:right w:val="nil"/>
            </w:tcBorders>
          </w:tcPr>
          <w:p w14:paraId="3B532177" w14:textId="77777777" w:rsidR="003F18C5" w:rsidRPr="00610FED" w:rsidRDefault="003F18C5" w:rsidP="003F18C5">
            <w:pPr>
              <w:jc w:val="center"/>
              <w:rPr>
                <w:sz w:val="14"/>
                <w:szCs w:val="14"/>
              </w:rPr>
            </w:pPr>
          </w:p>
        </w:tc>
        <w:tc>
          <w:tcPr>
            <w:tcW w:w="1271" w:type="dxa"/>
            <w:vMerge/>
            <w:tcBorders>
              <w:left w:val="nil"/>
              <w:bottom w:val="nil"/>
              <w:right w:val="nil"/>
            </w:tcBorders>
          </w:tcPr>
          <w:p w14:paraId="7F379E6E" w14:textId="77777777" w:rsidR="003F18C5" w:rsidRPr="00610FED" w:rsidRDefault="003F18C5" w:rsidP="003F18C5">
            <w:pPr>
              <w:jc w:val="center"/>
              <w:rPr>
                <w:sz w:val="14"/>
                <w:szCs w:val="14"/>
              </w:rPr>
            </w:pPr>
          </w:p>
        </w:tc>
        <w:tc>
          <w:tcPr>
            <w:tcW w:w="1139" w:type="dxa"/>
            <w:vMerge/>
            <w:tcBorders>
              <w:left w:val="nil"/>
              <w:bottom w:val="nil"/>
              <w:right w:val="nil"/>
            </w:tcBorders>
          </w:tcPr>
          <w:p w14:paraId="13C5D7C0" w14:textId="77777777" w:rsidR="003F18C5" w:rsidRPr="00610FED" w:rsidRDefault="003F18C5" w:rsidP="003F18C5">
            <w:pPr>
              <w:jc w:val="center"/>
              <w:rPr>
                <w:sz w:val="14"/>
                <w:szCs w:val="14"/>
              </w:rPr>
            </w:pPr>
          </w:p>
        </w:tc>
        <w:tc>
          <w:tcPr>
            <w:tcW w:w="709" w:type="dxa"/>
            <w:vMerge/>
            <w:tcBorders>
              <w:top w:val="nil"/>
              <w:left w:val="nil"/>
              <w:bottom w:val="nil"/>
              <w:right w:val="nil"/>
            </w:tcBorders>
          </w:tcPr>
          <w:p w14:paraId="761D702C" w14:textId="29C7CE0C" w:rsidR="003F18C5" w:rsidRPr="00610FED" w:rsidRDefault="003F18C5" w:rsidP="003F18C5">
            <w:pPr>
              <w:jc w:val="center"/>
              <w:rPr>
                <w:rFonts w:ascii="Times New Roman" w:hAnsi="Times New Roman" w:cs="Times New Roman"/>
                <w:sz w:val="14"/>
                <w:szCs w:val="14"/>
              </w:rPr>
            </w:pPr>
          </w:p>
        </w:tc>
        <w:tc>
          <w:tcPr>
            <w:tcW w:w="845" w:type="dxa"/>
            <w:vMerge/>
            <w:tcBorders>
              <w:top w:val="nil"/>
              <w:left w:val="nil"/>
              <w:bottom w:val="nil"/>
              <w:right w:val="nil"/>
            </w:tcBorders>
          </w:tcPr>
          <w:p w14:paraId="626534B4" w14:textId="5A43C527" w:rsidR="003F18C5" w:rsidRPr="00610FED" w:rsidRDefault="003F18C5" w:rsidP="003F18C5">
            <w:pPr>
              <w:jc w:val="center"/>
              <w:rPr>
                <w:rFonts w:ascii="Times New Roman" w:hAnsi="Times New Roman" w:cs="Times New Roman"/>
                <w:sz w:val="14"/>
                <w:szCs w:val="14"/>
              </w:rPr>
            </w:pPr>
          </w:p>
        </w:tc>
      </w:tr>
      <w:tr w:rsidR="003F18C5" w:rsidRPr="00811E07" w14:paraId="1AA12FAF" w14:textId="12DF0A18" w:rsidTr="00A02D35">
        <w:tc>
          <w:tcPr>
            <w:tcW w:w="1418" w:type="dxa"/>
            <w:tcBorders>
              <w:top w:val="nil"/>
              <w:left w:val="nil"/>
              <w:bottom w:val="single" w:sz="4" w:space="0" w:color="auto"/>
              <w:right w:val="nil"/>
            </w:tcBorders>
          </w:tcPr>
          <w:p w14:paraId="29F4FEDC" w14:textId="77777777" w:rsidR="003F18C5" w:rsidRPr="00610FED" w:rsidRDefault="003F18C5" w:rsidP="003F18C5">
            <w:pPr>
              <w:rPr>
                <w:rFonts w:ascii="Times New Roman" w:hAnsi="Times New Roman" w:cs="Times New Roman"/>
                <w:sz w:val="14"/>
                <w:szCs w:val="14"/>
              </w:rPr>
            </w:pPr>
            <w:r w:rsidRPr="00610FED">
              <w:rPr>
                <w:rFonts w:ascii="Times New Roman" w:hAnsi="Times New Roman" w:cs="Times New Roman"/>
                <w:sz w:val="14"/>
                <w:szCs w:val="14"/>
              </w:rPr>
              <w:t>FCC</w:t>
            </w:r>
          </w:p>
        </w:tc>
        <w:tc>
          <w:tcPr>
            <w:tcW w:w="1276" w:type="dxa"/>
            <w:tcBorders>
              <w:top w:val="nil"/>
              <w:left w:val="nil"/>
              <w:bottom w:val="single" w:sz="4" w:space="0" w:color="auto"/>
              <w:right w:val="nil"/>
            </w:tcBorders>
          </w:tcPr>
          <w:p w14:paraId="18CEFE93" w14:textId="6FA3FA0B" w:rsidR="003F18C5" w:rsidRPr="00610FED" w:rsidDel="003F18C5" w:rsidRDefault="003F18C5" w:rsidP="003F18C5">
            <w:pPr>
              <w:jc w:val="center"/>
              <w:rPr>
                <w:sz w:val="14"/>
                <w:szCs w:val="14"/>
              </w:rPr>
            </w:pPr>
            <w:r w:rsidRPr="00610FED">
              <w:rPr>
                <w:rFonts w:ascii="Times New Roman" w:hAnsi="Times New Roman" w:cs="Times New Roman"/>
                <w:sz w:val="14"/>
                <w:szCs w:val="14"/>
              </w:rPr>
              <w:t>0.1-0.17</w:t>
            </w:r>
          </w:p>
        </w:tc>
        <w:tc>
          <w:tcPr>
            <w:tcW w:w="713" w:type="dxa"/>
            <w:vMerge/>
            <w:tcBorders>
              <w:top w:val="nil"/>
              <w:left w:val="nil"/>
              <w:bottom w:val="single" w:sz="4" w:space="0" w:color="auto"/>
              <w:right w:val="nil"/>
            </w:tcBorders>
          </w:tcPr>
          <w:p w14:paraId="2346A30D" w14:textId="77777777" w:rsidR="003F18C5" w:rsidRPr="00610FED" w:rsidRDefault="003F18C5" w:rsidP="003F18C5">
            <w:pPr>
              <w:jc w:val="center"/>
              <w:rPr>
                <w:sz w:val="14"/>
                <w:szCs w:val="14"/>
              </w:rPr>
            </w:pPr>
          </w:p>
        </w:tc>
        <w:tc>
          <w:tcPr>
            <w:tcW w:w="1271" w:type="dxa"/>
            <w:vMerge/>
            <w:tcBorders>
              <w:top w:val="nil"/>
              <w:left w:val="nil"/>
              <w:bottom w:val="single" w:sz="4" w:space="0" w:color="auto"/>
              <w:right w:val="nil"/>
            </w:tcBorders>
          </w:tcPr>
          <w:p w14:paraId="67E9EA3C" w14:textId="77777777" w:rsidR="003F18C5" w:rsidRPr="00610FED" w:rsidRDefault="003F18C5" w:rsidP="003F18C5">
            <w:pPr>
              <w:jc w:val="center"/>
              <w:rPr>
                <w:sz w:val="14"/>
                <w:szCs w:val="14"/>
              </w:rPr>
            </w:pPr>
          </w:p>
        </w:tc>
        <w:tc>
          <w:tcPr>
            <w:tcW w:w="1139" w:type="dxa"/>
            <w:vMerge/>
            <w:tcBorders>
              <w:top w:val="nil"/>
              <w:left w:val="nil"/>
              <w:bottom w:val="single" w:sz="4" w:space="0" w:color="auto"/>
              <w:right w:val="nil"/>
            </w:tcBorders>
          </w:tcPr>
          <w:p w14:paraId="13CBE8B3" w14:textId="77777777" w:rsidR="003F18C5" w:rsidRPr="00610FED" w:rsidRDefault="003F18C5" w:rsidP="003F18C5">
            <w:pPr>
              <w:jc w:val="center"/>
              <w:rPr>
                <w:sz w:val="14"/>
                <w:szCs w:val="14"/>
              </w:rPr>
            </w:pPr>
          </w:p>
        </w:tc>
        <w:tc>
          <w:tcPr>
            <w:tcW w:w="709" w:type="dxa"/>
            <w:vMerge/>
            <w:tcBorders>
              <w:top w:val="nil"/>
              <w:left w:val="nil"/>
              <w:bottom w:val="single" w:sz="4" w:space="0" w:color="auto"/>
              <w:right w:val="nil"/>
            </w:tcBorders>
          </w:tcPr>
          <w:p w14:paraId="1B012227" w14:textId="16E48408" w:rsidR="003F18C5" w:rsidRPr="00610FED" w:rsidRDefault="003F18C5" w:rsidP="003F18C5">
            <w:pPr>
              <w:jc w:val="center"/>
              <w:rPr>
                <w:rFonts w:ascii="Times New Roman" w:hAnsi="Times New Roman" w:cs="Times New Roman"/>
                <w:sz w:val="14"/>
                <w:szCs w:val="14"/>
              </w:rPr>
            </w:pPr>
          </w:p>
        </w:tc>
        <w:tc>
          <w:tcPr>
            <w:tcW w:w="845" w:type="dxa"/>
            <w:vMerge/>
            <w:tcBorders>
              <w:top w:val="nil"/>
              <w:left w:val="nil"/>
              <w:bottom w:val="single" w:sz="4" w:space="0" w:color="auto"/>
              <w:right w:val="nil"/>
            </w:tcBorders>
          </w:tcPr>
          <w:p w14:paraId="1587ED24" w14:textId="2C295A38" w:rsidR="003F18C5" w:rsidRPr="00610FED" w:rsidRDefault="003F18C5" w:rsidP="003F18C5">
            <w:pPr>
              <w:jc w:val="center"/>
              <w:rPr>
                <w:rFonts w:ascii="Times New Roman" w:hAnsi="Times New Roman" w:cs="Times New Roman"/>
                <w:sz w:val="14"/>
                <w:szCs w:val="14"/>
              </w:rPr>
            </w:pPr>
          </w:p>
        </w:tc>
      </w:tr>
    </w:tbl>
    <w:p w14:paraId="34AF097E" w14:textId="7506E603" w:rsidR="005E63D3" w:rsidRDefault="005E63D3" w:rsidP="00E515AA">
      <w:pPr>
        <w:pStyle w:val="Els-body-text"/>
        <w:rPr>
          <w:i/>
          <w:iCs/>
          <w:sz w:val="14"/>
          <w:szCs w:val="14"/>
        </w:rPr>
      </w:pPr>
      <w:r w:rsidRPr="00610FED">
        <w:rPr>
          <w:i/>
          <w:iCs/>
          <w:sz w:val="14"/>
          <w:szCs w:val="14"/>
        </w:rPr>
        <w:t>Source</w:t>
      </w:r>
      <w:r w:rsidR="00AF7E3D">
        <w:rPr>
          <w:i/>
          <w:iCs/>
          <w:sz w:val="14"/>
          <w:szCs w:val="14"/>
        </w:rPr>
        <w:t xml:space="preserve"> of CO2 partial pressure data</w:t>
      </w:r>
      <w:r w:rsidRPr="00610FED">
        <w:rPr>
          <w:i/>
          <w:iCs/>
          <w:sz w:val="14"/>
          <w:szCs w:val="14"/>
        </w:rPr>
        <w:t xml:space="preserve">: Calculated based on </w:t>
      </w:r>
      <w:r w:rsidRPr="00610FED">
        <w:rPr>
          <w:i/>
          <w:iCs/>
          <w:sz w:val="14"/>
          <w:szCs w:val="14"/>
        </w:rPr>
        <w:fldChar w:fldCharType="begin" w:fldLock="1"/>
      </w:r>
      <w:r w:rsidRPr="00610FED">
        <w:rPr>
          <w:i/>
          <w:iCs/>
          <w:sz w:val="14"/>
          <w:szCs w:val="14"/>
        </w:rPr>
        <w:instrText>ADDIN CSL_CITATION {"citationItems":[{"id":"ITEM-1","itemData":{"author":[{"dropping-particle":"","family":"SIGEA","given":"","non-dropping-particle":"","parse-names":false,"suffix":""}],"id":"ITEM-1","issued":{"date-parts":[["2019"]]},"title":"Ecopetrol Emissions report","type":"report"},"uris":["http://www.mendeley.com/documents/?uuid=56f93c7d-1e91-4748-89db-e6e727d6015b"]}],"mendeley":{"formattedCitation":"(SIGEA, 2019)","manualFormatting":"SIGEA (2019)","plainTextFormattedCitation":"(SIGEA, 2019)","previouslyFormattedCitation":"(SIGEA, 2019)"},"properties":{"noteIndex":0},"schema":"https://github.com/citation-style-language/schema/raw/master/csl-citation.json"}</w:instrText>
      </w:r>
      <w:r w:rsidRPr="00610FED">
        <w:rPr>
          <w:i/>
          <w:iCs/>
          <w:sz w:val="14"/>
          <w:szCs w:val="14"/>
        </w:rPr>
        <w:fldChar w:fldCharType="separate"/>
      </w:r>
      <w:r w:rsidRPr="00610FED">
        <w:rPr>
          <w:iCs/>
          <w:noProof/>
          <w:sz w:val="14"/>
          <w:szCs w:val="14"/>
        </w:rPr>
        <w:t>SIGEA (2019)</w:t>
      </w:r>
      <w:r w:rsidRPr="00610FED">
        <w:rPr>
          <w:i/>
          <w:iCs/>
          <w:sz w:val="14"/>
          <w:szCs w:val="14"/>
        </w:rPr>
        <w:fldChar w:fldCharType="end"/>
      </w:r>
      <w:r w:rsidR="00963BA9">
        <w:rPr>
          <w:i/>
          <w:iCs/>
          <w:sz w:val="14"/>
          <w:szCs w:val="14"/>
        </w:rPr>
        <w:t xml:space="preserve">. </w:t>
      </w:r>
      <w:r w:rsidR="00963BA9">
        <w:rPr>
          <w:i/>
          <w:iCs/>
          <w:sz w:val="14"/>
          <w:szCs w:val="14"/>
        </w:rPr>
        <w:fldChar w:fldCharType="begin" w:fldLock="1"/>
      </w:r>
      <w:r w:rsidR="009A61A6">
        <w:rPr>
          <w:i/>
          <w:iCs/>
          <w:sz w:val="14"/>
          <w:szCs w:val="14"/>
        </w:rPr>
        <w:instrText>ADDIN CSL_CITATION {"citationItems":[{"id":"ITEM-1","itemData":{"ISBN":"978-92-9260-362-5","abstract":"This paper explores the status and potential of carbon capture and storage (CCS), carbon capture and utilisation (CCU) and carbon dioxide removal (CDR) technologies and their roles alongside renewables in the deep decarbonisation of energy systems.","author":[{"dropping-particle":"","family":"IRENA","given":"","non-dropping-particle":"","parse-names":false,"suffix":""}],"container-title":"/Technical-Papers/Capturing-Carbon","id":"ITEM-1","issued":{"date-parts":[["2021"]]},"title":"Reaching zero with renewables - Capturing Carbon","type":"book"},"uris":["http://www.mendeley.com/documents/?uuid=a5739b10-d642-4581-827a-473deff44691"]}],"mendeley":{"formattedCitation":"(IRENA, 2021)","manualFormatting":"IRENA, (2021)","plainTextFormattedCitation":"(IRENA, 2021)","previouslyFormattedCitation":"(IRENA, 2021)"},"properties":{"noteIndex":0},"schema":"https://github.com/citation-style-language/schema/raw/master/csl-citation.json"}</w:instrText>
      </w:r>
      <w:r w:rsidR="00963BA9">
        <w:rPr>
          <w:i/>
          <w:iCs/>
          <w:sz w:val="14"/>
          <w:szCs w:val="14"/>
        </w:rPr>
        <w:fldChar w:fldCharType="separate"/>
      </w:r>
      <w:r w:rsidR="00963BA9" w:rsidRPr="00963BA9">
        <w:rPr>
          <w:iCs/>
          <w:noProof/>
          <w:sz w:val="14"/>
          <w:szCs w:val="14"/>
        </w:rPr>
        <w:t xml:space="preserve">IRENA, </w:t>
      </w:r>
      <w:r w:rsidR="00963BA9">
        <w:rPr>
          <w:iCs/>
          <w:noProof/>
          <w:sz w:val="14"/>
          <w:szCs w:val="14"/>
        </w:rPr>
        <w:t>(</w:t>
      </w:r>
      <w:r w:rsidR="00963BA9" w:rsidRPr="00963BA9">
        <w:rPr>
          <w:iCs/>
          <w:noProof/>
          <w:sz w:val="14"/>
          <w:szCs w:val="14"/>
        </w:rPr>
        <w:t>2021)</w:t>
      </w:r>
      <w:r w:rsidR="00963BA9">
        <w:rPr>
          <w:i/>
          <w:iCs/>
          <w:sz w:val="14"/>
          <w:szCs w:val="14"/>
        </w:rPr>
        <w:fldChar w:fldCharType="end"/>
      </w:r>
    </w:p>
    <w:p w14:paraId="0F821F22" w14:textId="31B09130" w:rsidR="00963BA9" w:rsidRDefault="00963BA9" w:rsidP="00E515AA">
      <w:pPr>
        <w:pStyle w:val="Els-body-text"/>
        <w:rPr>
          <w:i/>
          <w:iCs/>
          <w:sz w:val="14"/>
          <w:szCs w:val="14"/>
        </w:rPr>
      </w:pPr>
      <w:r>
        <w:rPr>
          <w:i/>
          <w:iCs/>
          <w:sz w:val="14"/>
          <w:szCs w:val="14"/>
        </w:rPr>
        <w:t xml:space="preserve">Economic lifetime: 20 years. Discount rate: 12%. Fix </w:t>
      </w:r>
      <w:proofErr w:type="spellStart"/>
      <w:r>
        <w:rPr>
          <w:i/>
          <w:iCs/>
          <w:sz w:val="14"/>
          <w:szCs w:val="14"/>
        </w:rPr>
        <w:t>opex</w:t>
      </w:r>
      <w:proofErr w:type="spellEnd"/>
      <w:r>
        <w:rPr>
          <w:i/>
          <w:iCs/>
          <w:sz w:val="14"/>
          <w:szCs w:val="14"/>
        </w:rPr>
        <w:t>: 4% capex.</w:t>
      </w:r>
    </w:p>
    <w:p w14:paraId="32C683A2" w14:textId="1DDE8987" w:rsidR="003F18C5" w:rsidRDefault="003F18C5" w:rsidP="00E515AA">
      <w:pPr>
        <w:pStyle w:val="Els-body-text"/>
        <w:rPr>
          <w:i/>
          <w:iCs/>
          <w:sz w:val="14"/>
          <w:szCs w:val="14"/>
        </w:rPr>
      </w:pPr>
    </w:p>
    <w:p w14:paraId="171913B9" w14:textId="1736DBDF" w:rsidR="009C01E2" w:rsidRPr="00610FED" w:rsidRDefault="00661BF7" w:rsidP="00A02D35">
      <w:pPr>
        <w:pStyle w:val="Didascalia"/>
        <w:rPr>
          <w:i/>
          <w:iCs/>
          <w:sz w:val="14"/>
          <w:szCs w:val="14"/>
        </w:rPr>
      </w:pPr>
      <w:bookmarkStart w:id="8" w:name="_Ref154087976"/>
      <w:r w:rsidRPr="00A02D35">
        <w:rPr>
          <w:b/>
          <w:bCs/>
        </w:rPr>
        <w:t xml:space="preserve">Table </w:t>
      </w:r>
      <w:r w:rsidRPr="00A02D35">
        <w:rPr>
          <w:b/>
          <w:bCs/>
        </w:rPr>
        <w:fldChar w:fldCharType="begin"/>
      </w:r>
      <w:r w:rsidRPr="00A02D35">
        <w:rPr>
          <w:b/>
          <w:bCs/>
        </w:rPr>
        <w:instrText xml:space="preserve"> SEQ Table \* ARABIC </w:instrText>
      </w:r>
      <w:r w:rsidRPr="00A02D35">
        <w:rPr>
          <w:b/>
          <w:bCs/>
        </w:rPr>
        <w:fldChar w:fldCharType="separate"/>
      </w:r>
      <w:r w:rsidRPr="00A02D35">
        <w:rPr>
          <w:b/>
          <w:bCs/>
          <w:noProof/>
        </w:rPr>
        <w:t>5</w:t>
      </w:r>
      <w:r w:rsidRPr="00A02D35">
        <w:rPr>
          <w:b/>
          <w:bCs/>
        </w:rPr>
        <w:fldChar w:fldCharType="end"/>
      </w:r>
      <w:bookmarkEnd w:id="8"/>
      <w:r w:rsidR="001F1583" w:rsidRPr="008A66FB">
        <w:rPr>
          <w:b/>
          <w:bCs/>
        </w:rPr>
        <w:t>.</w:t>
      </w:r>
      <w:r w:rsidR="001F1583">
        <w:t xml:space="preserve"> </w:t>
      </w:r>
      <w:commentRangeStart w:id="9"/>
      <w:r w:rsidR="001F1583" w:rsidRPr="009834AA">
        <w:t>CO</w:t>
      </w:r>
      <w:r w:rsidR="001F1583" w:rsidRPr="009834AA">
        <w:rPr>
          <w:vertAlign w:val="subscript"/>
        </w:rPr>
        <w:t>2</w:t>
      </w:r>
      <w:r w:rsidR="001F1583" w:rsidRPr="009834AA">
        <w:t xml:space="preserve"> footprint of transportation and storage alternatives.</w:t>
      </w:r>
      <w:commentRangeEnd w:id="9"/>
      <w:r w:rsidR="004C1787" w:rsidRPr="009834AA">
        <w:rPr>
          <w:rStyle w:val="Rimandocommento"/>
          <w:lang w:val="en-GB"/>
        </w:rPr>
        <w:commentReference w:id="9"/>
      </w:r>
    </w:p>
    <w:tbl>
      <w:tblPr>
        <w:tblStyle w:val="Grigliatabella"/>
        <w:tblW w:w="75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1559"/>
        <w:gridCol w:w="1701"/>
        <w:gridCol w:w="2268"/>
      </w:tblGrid>
      <w:tr w:rsidR="009C01E2" w:rsidRPr="00610FED" w14:paraId="22E2EC64" w14:textId="77777777" w:rsidTr="00A02D35">
        <w:trPr>
          <w:trHeight w:val="520"/>
        </w:trPr>
        <w:tc>
          <w:tcPr>
            <w:tcW w:w="1990" w:type="dxa"/>
            <w:tcBorders>
              <w:top w:val="single" w:sz="4" w:space="0" w:color="auto"/>
              <w:bottom w:val="single" w:sz="4" w:space="0" w:color="auto"/>
            </w:tcBorders>
          </w:tcPr>
          <w:p w14:paraId="6FDC7186" w14:textId="1571DA77" w:rsidR="009C01E2" w:rsidRPr="00610FED" w:rsidRDefault="009C01E2" w:rsidP="00273B85">
            <w:pPr>
              <w:spacing w:line="360" w:lineRule="auto"/>
              <w:rPr>
                <w:rFonts w:ascii="Times New Roman" w:hAnsi="Times New Roman" w:cs="Times New Roman"/>
                <w:b/>
                <w:bCs/>
                <w:sz w:val="14"/>
                <w:szCs w:val="14"/>
              </w:rPr>
            </w:pPr>
            <w:r>
              <w:rPr>
                <w:rFonts w:ascii="Times New Roman" w:hAnsi="Times New Roman" w:cs="Times New Roman"/>
                <w:b/>
                <w:bCs/>
                <w:sz w:val="14"/>
                <w:szCs w:val="14"/>
              </w:rPr>
              <w:t>Refinery</w:t>
            </w:r>
          </w:p>
        </w:tc>
        <w:tc>
          <w:tcPr>
            <w:tcW w:w="1559" w:type="dxa"/>
            <w:tcBorders>
              <w:top w:val="single" w:sz="4" w:space="0" w:color="auto"/>
              <w:bottom w:val="single" w:sz="4" w:space="0" w:color="auto"/>
            </w:tcBorders>
          </w:tcPr>
          <w:p w14:paraId="692C5A40" w14:textId="77777777" w:rsidR="00A02D35" w:rsidRDefault="009C01E2" w:rsidP="00A02D35">
            <w:pPr>
              <w:jc w:val="center"/>
            </w:pPr>
            <w:r>
              <w:rPr>
                <w:rFonts w:ascii="Times New Roman" w:hAnsi="Times New Roman" w:cs="Times New Roman"/>
                <w:b/>
                <w:bCs/>
                <w:sz w:val="14"/>
                <w:szCs w:val="14"/>
              </w:rPr>
              <w:t>On-shore pipeline</w:t>
            </w:r>
            <w:r w:rsidR="00A02D35">
              <w:t xml:space="preserve">, </w:t>
            </w:r>
          </w:p>
          <w:p w14:paraId="76FC24A7" w14:textId="573A0DB2" w:rsidR="009C01E2" w:rsidRPr="00610FED" w:rsidRDefault="00A02D35" w:rsidP="00A02D35">
            <w:pPr>
              <w:jc w:val="center"/>
              <w:rPr>
                <w:rFonts w:ascii="Times New Roman" w:hAnsi="Times New Roman" w:cs="Times New Roman"/>
                <w:b/>
                <w:bCs/>
                <w:sz w:val="14"/>
                <w:szCs w:val="14"/>
              </w:rPr>
            </w:pPr>
            <w:r w:rsidRPr="00A02D35">
              <w:rPr>
                <w:rFonts w:ascii="Times New Roman" w:hAnsi="Times New Roman" w:cs="Times New Roman"/>
                <w:b/>
                <w:bCs/>
                <w:sz w:val="14"/>
                <w:szCs w:val="14"/>
              </w:rPr>
              <w:t>kg CO</w:t>
            </w:r>
            <w:r w:rsidRPr="00A02D35">
              <w:rPr>
                <w:rFonts w:ascii="Times New Roman" w:hAnsi="Times New Roman" w:cs="Times New Roman"/>
                <w:b/>
                <w:bCs/>
                <w:sz w:val="14"/>
                <w:szCs w:val="14"/>
                <w:vertAlign w:val="subscript"/>
              </w:rPr>
              <w:t>2</w:t>
            </w:r>
            <w:r w:rsidRPr="00A02D35">
              <w:rPr>
                <w:rFonts w:ascii="Times New Roman" w:hAnsi="Times New Roman" w:cs="Times New Roman"/>
                <w:b/>
                <w:bCs/>
                <w:sz w:val="14"/>
                <w:szCs w:val="14"/>
              </w:rPr>
              <w:t xml:space="preserve"> /t CO</w:t>
            </w:r>
            <w:r w:rsidRPr="00A02D35">
              <w:rPr>
                <w:rFonts w:ascii="Times New Roman" w:hAnsi="Times New Roman" w:cs="Times New Roman"/>
                <w:b/>
                <w:bCs/>
                <w:sz w:val="14"/>
                <w:szCs w:val="14"/>
                <w:vertAlign w:val="subscript"/>
              </w:rPr>
              <w:t>2</w:t>
            </w:r>
            <w:r w:rsidRPr="00A02D35">
              <w:rPr>
                <w:rFonts w:ascii="Times New Roman" w:hAnsi="Times New Roman" w:cs="Times New Roman"/>
                <w:b/>
                <w:bCs/>
                <w:sz w:val="14"/>
                <w:szCs w:val="14"/>
              </w:rPr>
              <w:t xml:space="preserve"> stored</w:t>
            </w:r>
          </w:p>
        </w:tc>
        <w:tc>
          <w:tcPr>
            <w:tcW w:w="1701" w:type="dxa"/>
            <w:tcBorders>
              <w:top w:val="single" w:sz="4" w:space="0" w:color="auto"/>
              <w:bottom w:val="single" w:sz="4" w:space="0" w:color="auto"/>
            </w:tcBorders>
          </w:tcPr>
          <w:p w14:paraId="496C515A" w14:textId="77777777" w:rsidR="00A02D35" w:rsidRDefault="009C01E2" w:rsidP="00DE341B">
            <w:pPr>
              <w:spacing w:line="360" w:lineRule="auto"/>
              <w:jc w:val="center"/>
              <w:rPr>
                <w:rFonts w:ascii="Times New Roman" w:hAnsi="Times New Roman" w:cs="Times New Roman"/>
                <w:b/>
                <w:bCs/>
                <w:sz w:val="14"/>
                <w:szCs w:val="14"/>
              </w:rPr>
            </w:pPr>
            <w:r>
              <w:rPr>
                <w:rFonts w:ascii="Times New Roman" w:hAnsi="Times New Roman" w:cs="Times New Roman"/>
                <w:b/>
                <w:bCs/>
                <w:sz w:val="14"/>
                <w:szCs w:val="14"/>
              </w:rPr>
              <w:t>Off-shore pipeline</w:t>
            </w:r>
            <w:r w:rsidR="00A02D35">
              <w:rPr>
                <w:rFonts w:ascii="Times New Roman" w:hAnsi="Times New Roman" w:cs="Times New Roman"/>
                <w:b/>
                <w:bCs/>
                <w:sz w:val="14"/>
                <w:szCs w:val="14"/>
              </w:rPr>
              <w:t>,</w:t>
            </w:r>
          </w:p>
          <w:p w14:paraId="421707FD" w14:textId="4BDF1D1A" w:rsidR="009C01E2" w:rsidRPr="00610FED" w:rsidRDefault="00A02D35" w:rsidP="00DE341B">
            <w:pPr>
              <w:spacing w:line="360" w:lineRule="auto"/>
              <w:jc w:val="center"/>
              <w:rPr>
                <w:rFonts w:ascii="Times New Roman" w:hAnsi="Times New Roman" w:cs="Times New Roman"/>
                <w:b/>
                <w:bCs/>
                <w:sz w:val="14"/>
                <w:szCs w:val="14"/>
              </w:rPr>
            </w:pPr>
            <w:r w:rsidRPr="00A02D35">
              <w:rPr>
                <w:rFonts w:ascii="Times New Roman" w:hAnsi="Times New Roman" w:cs="Times New Roman"/>
                <w:b/>
                <w:bCs/>
                <w:sz w:val="14"/>
                <w:szCs w:val="14"/>
              </w:rPr>
              <w:t xml:space="preserve"> kg CO</w:t>
            </w:r>
            <w:r w:rsidRPr="00D35445">
              <w:rPr>
                <w:rFonts w:ascii="Times New Roman" w:hAnsi="Times New Roman" w:cs="Times New Roman"/>
                <w:b/>
                <w:bCs/>
                <w:sz w:val="14"/>
                <w:szCs w:val="14"/>
                <w:vertAlign w:val="subscript"/>
              </w:rPr>
              <w:t>2</w:t>
            </w:r>
            <w:r w:rsidRPr="00A02D35">
              <w:rPr>
                <w:rFonts w:ascii="Times New Roman" w:hAnsi="Times New Roman" w:cs="Times New Roman"/>
                <w:b/>
                <w:bCs/>
                <w:sz w:val="14"/>
                <w:szCs w:val="14"/>
              </w:rPr>
              <w:t xml:space="preserve"> /t CO</w:t>
            </w:r>
            <w:r w:rsidRPr="00D35445">
              <w:rPr>
                <w:rFonts w:ascii="Times New Roman" w:hAnsi="Times New Roman" w:cs="Times New Roman"/>
                <w:b/>
                <w:bCs/>
                <w:sz w:val="14"/>
                <w:szCs w:val="14"/>
                <w:vertAlign w:val="subscript"/>
              </w:rPr>
              <w:t>2</w:t>
            </w:r>
            <w:r w:rsidRPr="00A02D35">
              <w:rPr>
                <w:rFonts w:ascii="Times New Roman" w:hAnsi="Times New Roman" w:cs="Times New Roman"/>
                <w:b/>
                <w:bCs/>
                <w:sz w:val="14"/>
                <w:szCs w:val="14"/>
              </w:rPr>
              <w:t xml:space="preserve"> stored</w:t>
            </w:r>
          </w:p>
        </w:tc>
        <w:tc>
          <w:tcPr>
            <w:tcW w:w="2268" w:type="dxa"/>
            <w:tcBorders>
              <w:top w:val="single" w:sz="4" w:space="0" w:color="auto"/>
              <w:bottom w:val="single" w:sz="4" w:space="0" w:color="auto"/>
            </w:tcBorders>
          </w:tcPr>
          <w:p w14:paraId="04ED856A" w14:textId="77777777" w:rsidR="00A02D35" w:rsidRDefault="009C01E2">
            <w:pPr>
              <w:spacing w:line="36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Off-shore </w:t>
            </w:r>
            <w:r w:rsidR="007E0191">
              <w:rPr>
                <w:rFonts w:ascii="Times New Roman" w:hAnsi="Times New Roman" w:cs="Times New Roman"/>
                <w:b/>
                <w:bCs/>
                <w:sz w:val="14"/>
                <w:szCs w:val="14"/>
              </w:rPr>
              <w:t>shipping</w:t>
            </w:r>
            <w:r w:rsidR="00A02D35">
              <w:rPr>
                <w:rFonts w:ascii="Times New Roman" w:hAnsi="Times New Roman" w:cs="Times New Roman"/>
                <w:b/>
                <w:bCs/>
                <w:sz w:val="14"/>
                <w:szCs w:val="14"/>
              </w:rPr>
              <w:t xml:space="preserve">, </w:t>
            </w:r>
          </w:p>
          <w:p w14:paraId="089A4F5A" w14:textId="63927709" w:rsidR="009C01E2" w:rsidRPr="00610FED" w:rsidRDefault="00A02D35" w:rsidP="00A02D35">
            <w:pPr>
              <w:spacing w:line="360" w:lineRule="auto"/>
              <w:jc w:val="center"/>
              <w:rPr>
                <w:rFonts w:ascii="Times New Roman" w:hAnsi="Times New Roman" w:cs="Times New Roman"/>
                <w:b/>
                <w:bCs/>
                <w:sz w:val="14"/>
                <w:szCs w:val="14"/>
              </w:rPr>
            </w:pPr>
            <w:r w:rsidRPr="00A02D35">
              <w:rPr>
                <w:rFonts w:ascii="Times New Roman" w:hAnsi="Times New Roman" w:cs="Times New Roman"/>
                <w:b/>
                <w:bCs/>
                <w:sz w:val="14"/>
                <w:szCs w:val="14"/>
              </w:rPr>
              <w:t>kg CO</w:t>
            </w:r>
            <w:r w:rsidRPr="00D35445">
              <w:rPr>
                <w:rFonts w:ascii="Times New Roman" w:hAnsi="Times New Roman" w:cs="Times New Roman"/>
                <w:b/>
                <w:bCs/>
                <w:sz w:val="14"/>
                <w:szCs w:val="14"/>
                <w:vertAlign w:val="subscript"/>
              </w:rPr>
              <w:t>2</w:t>
            </w:r>
            <w:r w:rsidRPr="00A02D35">
              <w:rPr>
                <w:rFonts w:ascii="Times New Roman" w:hAnsi="Times New Roman" w:cs="Times New Roman"/>
                <w:b/>
                <w:bCs/>
                <w:sz w:val="14"/>
                <w:szCs w:val="14"/>
              </w:rPr>
              <w:t xml:space="preserve"> /t CO</w:t>
            </w:r>
            <w:r w:rsidRPr="00D35445">
              <w:rPr>
                <w:rFonts w:ascii="Times New Roman" w:hAnsi="Times New Roman" w:cs="Times New Roman"/>
                <w:b/>
                <w:bCs/>
                <w:sz w:val="14"/>
                <w:szCs w:val="14"/>
                <w:vertAlign w:val="subscript"/>
              </w:rPr>
              <w:t>2</w:t>
            </w:r>
            <w:r w:rsidRPr="00A02D35">
              <w:rPr>
                <w:rFonts w:ascii="Times New Roman" w:hAnsi="Times New Roman" w:cs="Times New Roman"/>
                <w:b/>
                <w:bCs/>
                <w:sz w:val="14"/>
                <w:szCs w:val="14"/>
              </w:rPr>
              <w:t xml:space="preserve"> stored</w:t>
            </w:r>
          </w:p>
        </w:tc>
      </w:tr>
      <w:tr w:rsidR="009C01E2" w:rsidRPr="00610FED" w14:paraId="2546BA3C" w14:textId="77777777" w:rsidTr="00A02D35">
        <w:tc>
          <w:tcPr>
            <w:tcW w:w="1990" w:type="dxa"/>
            <w:tcBorders>
              <w:top w:val="single" w:sz="4" w:space="0" w:color="auto"/>
            </w:tcBorders>
          </w:tcPr>
          <w:p w14:paraId="769370BF" w14:textId="64EB029E" w:rsidR="009C01E2" w:rsidRPr="009A61A6" w:rsidRDefault="009C01E2" w:rsidP="00A02D35">
            <w:pPr>
              <w:rPr>
                <w:rFonts w:ascii="Times New Roman" w:hAnsi="Times New Roman" w:cs="Times New Roman"/>
                <w:sz w:val="14"/>
                <w:szCs w:val="14"/>
              </w:rPr>
            </w:pPr>
            <w:r w:rsidRPr="00A02D35">
              <w:rPr>
                <w:sz w:val="14"/>
                <w:szCs w:val="14"/>
              </w:rPr>
              <w:t>C</w:t>
            </w:r>
            <w:r w:rsidR="009A61A6" w:rsidRPr="00A02D35">
              <w:rPr>
                <w:sz w:val="14"/>
                <w:szCs w:val="14"/>
              </w:rPr>
              <w:t>arta</w:t>
            </w:r>
            <w:r w:rsidRPr="00A02D35">
              <w:rPr>
                <w:sz w:val="14"/>
                <w:szCs w:val="14"/>
              </w:rPr>
              <w:t>gena. (HC)</w:t>
            </w:r>
            <w:r w:rsidRPr="009A61A6">
              <w:rPr>
                <w:rFonts w:ascii="Times New Roman" w:hAnsi="Times New Roman" w:cs="Times New Roman"/>
                <w:sz w:val="14"/>
                <w:szCs w:val="14"/>
              </w:rPr>
              <w:t>)</w:t>
            </w:r>
          </w:p>
        </w:tc>
        <w:tc>
          <w:tcPr>
            <w:tcW w:w="1559" w:type="dxa"/>
            <w:tcBorders>
              <w:top w:val="single" w:sz="4" w:space="0" w:color="auto"/>
            </w:tcBorders>
          </w:tcPr>
          <w:p w14:paraId="115946FA" w14:textId="3610B0D8" w:rsidR="009C01E2" w:rsidRPr="00610FED" w:rsidRDefault="009C01E2" w:rsidP="00A02D35">
            <w:pPr>
              <w:jc w:val="center"/>
              <w:rPr>
                <w:rFonts w:ascii="Times New Roman" w:hAnsi="Times New Roman" w:cs="Times New Roman"/>
                <w:sz w:val="14"/>
                <w:szCs w:val="14"/>
              </w:rPr>
            </w:pPr>
            <w:r>
              <w:rPr>
                <w:rFonts w:ascii="Times New Roman" w:hAnsi="Times New Roman" w:cs="Times New Roman"/>
                <w:sz w:val="14"/>
                <w:szCs w:val="14"/>
              </w:rPr>
              <w:t>2.5</w:t>
            </w:r>
          </w:p>
        </w:tc>
        <w:tc>
          <w:tcPr>
            <w:tcW w:w="1701" w:type="dxa"/>
            <w:tcBorders>
              <w:top w:val="single" w:sz="4" w:space="0" w:color="auto"/>
            </w:tcBorders>
          </w:tcPr>
          <w:p w14:paraId="29049467" w14:textId="4CA3830B" w:rsidR="009C01E2" w:rsidRPr="00610FED" w:rsidRDefault="009C01E2" w:rsidP="00A02D35">
            <w:pPr>
              <w:jc w:val="center"/>
              <w:rPr>
                <w:rFonts w:ascii="Times New Roman" w:hAnsi="Times New Roman" w:cs="Times New Roman"/>
                <w:sz w:val="14"/>
                <w:szCs w:val="14"/>
              </w:rPr>
            </w:pPr>
            <w:r>
              <w:rPr>
                <w:rFonts w:ascii="Times New Roman" w:hAnsi="Times New Roman" w:cs="Times New Roman"/>
                <w:sz w:val="14"/>
                <w:szCs w:val="14"/>
              </w:rPr>
              <w:t>2.9</w:t>
            </w:r>
          </w:p>
        </w:tc>
        <w:tc>
          <w:tcPr>
            <w:tcW w:w="2268" w:type="dxa"/>
            <w:tcBorders>
              <w:top w:val="single" w:sz="4" w:space="0" w:color="auto"/>
            </w:tcBorders>
          </w:tcPr>
          <w:p w14:paraId="2FBDF402" w14:textId="00668AC1" w:rsidR="009C01E2" w:rsidRPr="00610FED" w:rsidRDefault="009C01E2" w:rsidP="00A02D35">
            <w:pPr>
              <w:jc w:val="center"/>
              <w:rPr>
                <w:rFonts w:ascii="Times New Roman" w:hAnsi="Times New Roman" w:cs="Times New Roman"/>
                <w:sz w:val="14"/>
                <w:szCs w:val="14"/>
              </w:rPr>
            </w:pPr>
            <w:r>
              <w:rPr>
                <w:rFonts w:ascii="Times New Roman" w:hAnsi="Times New Roman" w:cs="Times New Roman"/>
                <w:sz w:val="14"/>
                <w:szCs w:val="14"/>
              </w:rPr>
              <w:t>18.3</w:t>
            </w:r>
          </w:p>
        </w:tc>
      </w:tr>
      <w:tr w:rsidR="009C01E2" w:rsidRPr="00610FED" w14:paraId="5E2A857D" w14:textId="77777777" w:rsidTr="00A02D35">
        <w:tc>
          <w:tcPr>
            <w:tcW w:w="1990" w:type="dxa"/>
            <w:tcBorders>
              <w:bottom w:val="single" w:sz="4" w:space="0" w:color="auto"/>
            </w:tcBorders>
          </w:tcPr>
          <w:p w14:paraId="35549665" w14:textId="7B8AFF1C" w:rsidR="009C01E2" w:rsidRPr="00A02D35" w:rsidRDefault="009C01E2" w:rsidP="00A02D35">
            <w:pPr>
              <w:rPr>
                <w:sz w:val="14"/>
                <w:szCs w:val="14"/>
              </w:rPr>
            </w:pPr>
            <w:r w:rsidRPr="00A02D35">
              <w:rPr>
                <w:sz w:val="14"/>
                <w:szCs w:val="14"/>
              </w:rPr>
              <w:t>B</w:t>
            </w:r>
            <w:r w:rsidR="009A61A6" w:rsidRPr="00A02D35">
              <w:rPr>
                <w:sz w:val="14"/>
                <w:szCs w:val="14"/>
              </w:rPr>
              <w:t>arrancaber</w:t>
            </w:r>
            <w:r w:rsidRPr="00A02D35">
              <w:rPr>
                <w:sz w:val="14"/>
                <w:szCs w:val="14"/>
              </w:rPr>
              <w:t>meja. (MC)</w:t>
            </w:r>
          </w:p>
        </w:tc>
        <w:tc>
          <w:tcPr>
            <w:tcW w:w="1559" w:type="dxa"/>
            <w:tcBorders>
              <w:bottom w:val="single" w:sz="4" w:space="0" w:color="auto"/>
            </w:tcBorders>
          </w:tcPr>
          <w:p w14:paraId="091A70A5" w14:textId="0590F616" w:rsidR="009C01E2" w:rsidRPr="00610FED" w:rsidRDefault="009C01E2" w:rsidP="00A02D35">
            <w:pPr>
              <w:jc w:val="center"/>
              <w:rPr>
                <w:sz w:val="14"/>
                <w:szCs w:val="14"/>
              </w:rPr>
            </w:pPr>
            <w:r>
              <w:rPr>
                <w:sz w:val="14"/>
                <w:szCs w:val="14"/>
              </w:rPr>
              <w:t>1.8</w:t>
            </w:r>
          </w:p>
        </w:tc>
        <w:tc>
          <w:tcPr>
            <w:tcW w:w="1701" w:type="dxa"/>
            <w:tcBorders>
              <w:bottom w:val="single" w:sz="4" w:space="0" w:color="auto"/>
            </w:tcBorders>
          </w:tcPr>
          <w:p w14:paraId="56601626" w14:textId="65FF88A0" w:rsidR="009C01E2" w:rsidRPr="00610FED" w:rsidRDefault="009C01E2" w:rsidP="00A02D35">
            <w:pPr>
              <w:jc w:val="center"/>
              <w:rPr>
                <w:sz w:val="14"/>
                <w:szCs w:val="14"/>
              </w:rPr>
            </w:pPr>
            <w:r>
              <w:rPr>
                <w:sz w:val="14"/>
                <w:szCs w:val="14"/>
              </w:rPr>
              <w:t>9.6</w:t>
            </w:r>
          </w:p>
        </w:tc>
        <w:tc>
          <w:tcPr>
            <w:tcW w:w="2268" w:type="dxa"/>
            <w:tcBorders>
              <w:bottom w:val="single" w:sz="4" w:space="0" w:color="auto"/>
            </w:tcBorders>
          </w:tcPr>
          <w:p w14:paraId="3F3E9017" w14:textId="5C639B45" w:rsidR="009C01E2" w:rsidRPr="00610FED" w:rsidRDefault="009C01E2" w:rsidP="00A02D35">
            <w:pPr>
              <w:jc w:val="center"/>
              <w:rPr>
                <w:sz w:val="14"/>
                <w:szCs w:val="14"/>
              </w:rPr>
            </w:pPr>
            <w:r>
              <w:rPr>
                <w:sz w:val="14"/>
                <w:szCs w:val="14"/>
              </w:rPr>
              <w:t>22.5</w:t>
            </w:r>
          </w:p>
        </w:tc>
      </w:tr>
    </w:tbl>
    <w:p w14:paraId="5458D601" w14:textId="22BD0216" w:rsidR="009C01E2" w:rsidRPr="00A02D35" w:rsidRDefault="009C01E2" w:rsidP="00E515AA">
      <w:pPr>
        <w:pStyle w:val="Els-body-text"/>
        <w:rPr>
          <w:i/>
          <w:iCs/>
          <w:sz w:val="14"/>
          <w:szCs w:val="14"/>
          <w:lang w:val="es-CO"/>
        </w:rPr>
      </w:pPr>
      <w:r w:rsidRPr="00610FED">
        <w:rPr>
          <w:sz w:val="14"/>
          <w:szCs w:val="14"/>
        </w:rPr>
        <w:t xml:space="preserve">Based on </w:t>
      </w:r>
      <w:r w:rsidRPr="00610FED">
        <w:rPr>
          <w:sz w:val="14"/>
          <w:szCs w:val="14"/>
        </w:rPr>
        <w:fldChar w:fldCharType="begin" w:fldLock="1"/>
      </w:r>
      <w:r w:rsidRPr="00610FED">
        <w:rPr>
          <w:sz w:val="14"/>
          <w:szCs w:val="14"/>
        </w:rPr>
        <w:instrText>ADDIN CSL_CITATION {"citationItems":[{"id":"ITEM-1","itemData":{"DOI":"10.1016/j.esr.2023.101232","author":[{"dropping-particle":"","family":"Younis","given":"Ahmed","non-dropping-particle":"","parse-names":false,"suffix":""},{"dropping-particle":"","family":"Suarez","given":"Lorena","non-dropping-particle":"","parse-names":false,"suffix":""},{"dropping-particle":"","family":"Lap","given":"Tjerk","non-dropping-particle":"","parse-names":false,"suffix":""},{"dropping-particle":"","family":"Edgar","given":"Y","non-dropping-particle":"","parse-names":false,"suffix":""}],"id":"ITEM-1","issue":"July","issued":{"date-parts":[["2023"]]},"title":"Exploring the spatiotemporal evolution of bioenergy with carbon capture and storage and decarbonization of oil refineries with a national energy system model of Colombia ´ n","type":"article-journal","volume":"50"},"uris":["http://www.mendeley.com/documents/?uuid=f749a38d-d952-4531-9c4a-93848d160487"]}],"mendeley":{"formattedCitation":"(Younis et al., 2023)","manualFormatting":"Younis et al., (2023)","plainTextFormattedCitation":"(Younis et al., 2023)","previouslyFormattedCitation":"(Younis et al., 2023)"},"properties":{"noteIndex":0},"schema":"https://github.com/citation-style-language/schema/raw/master/csl-citation.json"}</w:instrText>
      </w:r>
      <w:r w:rsidRPr="00610FED">
        <w:rPr>
          <w:sz w:val="14"/>
          <w:szCs w:val="14"/>
        </w:rPr>
        <w:fldChar w:fldCharType="separate"/>
      </w:r>
      <w:r w:rsidRPr="00610FED">
        <w:rPr>
          <w:noProof/>
          <w:sz w:val="14"/>
          <w:szCs w:val="14"/>
        </w:rPr>
        <w:t>Younis et al., (2023)</w:t>
      </w:r>
      <w:r w:rsidRPr="00610FED">
        <w:rPr>
          <w:sz w:val="14"/>
          <w:szCs w:val="14"/>
        </w:rPr>
        <w:fldChar w:fldCharType="end"/>
      </w:r>
      <w:r w:rsidR="00766A71">
        <w:rPr>
          <w:sz w:val="14"/>
          <w:szCs w:val="14"/>
        </w:rPr>
        <w:t xml:space="preserve">, </w:t>
      </w:r>
      <w:r w:rsidR="00766A71">
        <w:rPr>
          <w:sz w:val="14"/>
          <w:szCs w:val="14"/>
        </w:rPr>
        <w:fldChar w:fldCharType="begin" w:fldLock="1"/>
      </w:r>
      <w:r w:rsidR="007E0191">
        <w:rPr>
          <w:sz w:val="14"/>
          <w:szCs w:val="14"/>
        </w:rPr>
        <w:instrText>ADDIN CSL_CITATION {"citationItems":[{"id":"ITEM-1","itemData":{"DOI":"10.1021/es051882a","ISSN":"0013936X","PMID":"16830576","abstract":"The Life Cycle Assessment of four CO2 recovery technologies, combined with nine CO2 sequestration systems, serves to expand the debate of CO2 mitigation methods beyond a single issue-prevention of global warming-to a wider range of environmental concerns: resource depletion, acidic and toxic gases, wastes, etc, so that the overall, and unexpected, environmental impacts may be revealed. © 2006 American Chemical Society.","author":[{"dropping-particle":"","family":"Khoo","given":"Hsien H.","non-dropping-particle":"","parse-names":false,"suffix":""},{"dropping-particle":"","family":"Tan","given":"Reginald B.H.","non-dropping-particle":"","parse-names":false,"suffix":""}],"container-title":"Environmental Science and Technology","id":"ITEM-1","issue":"12","issued":{"date-parts":[["2006"]]},"page":"4016-4024","title":"Life cycle investigation of CO2 recovery and sequestration","type":"article-journal","volume":"40"},"uris":["http://www.mendeley.com/documents/?uuid=582f6891-309a-4a3a-8122-a7b101261ca1"]}],"mendeley":{"formattedCitation":"(Khoo &amp; Tan, 2006)","manualFormatting":"Khoo &amp; Tan, (2006)","plainTextFormattedCitation":"(Khoo &amp; Tan, 2006)","previouslyFormattedCitation":"(Khoo &amp; Tan, 2006)"},"properties":{"noteIndex":0},"schema":"https://</w:instrText>
      </w:r>
      <w:r w:rsidR="007E0191" w:rsidRPr="00A02D35">
        <w:rPr>
          <w:sz w:val="14"/>
          <w:szCs w:val="14"/>
          <w:lang w:val="en-GB"/>
        </w:rPr>
        <w:instrText>github.com/citation-style-language/schema/raw/master/csl-citation.json"}</w:instrText>
      </w:r>
      <w:r w:rsidR="00766A71">
        <w:rPr>
          <w:sz w:val="14"/>
          <w:szCs w:val="14"/>
        </w:rPr>
        <w:fldChar w:fldCharType="separate"/>
      </w:r>
      <w:r w:rsidR="00766A71" w:rsidRPr="001D316D">
        <w:rPr>
          <w:noProof/>
          <w:sz w:val="14"/>
          <w:szCs w:val="14"/>
          <w:lang w:val="en-GB"/>
        </w:rPr>
        <w:t xml:space="preserve">Khoo &amp; Tan, </w:t>
      </w:r>
      <w:r w:rsidR="007E0191" w:rsidRPr="001D316D">
        <w:rPr>
          <w:noProof/>
          <w:sz w:val="14"/>
          <w:szCs w:val="14"/>
          <w:lang w:val="en-GB"/>
        </w:rPr>
        <w:t>(</w:t>
      </w:r>
      <w:r w:rsidR="00766A71" w:rsidRPr="001D316D">
        <w:rPr>
          <w:noProof/>
          <w:sz w:val="14"/>
          <w:szCs w:val="14"/>
          <w:lang w:val="en-GB"/>
        </w:rPr>
        <w:t>2006)</w:t>
      </w:r>
      <w:r w:rsidR="00766A71">
        <w:rPr>
          <w:sz w:val="14"/>
          <w:szCs w:val="14"/>
        </w:rPr>
        <w:fldChar w:fldCharType="end"/>
      </w:r>
      <w:r w:rsidR="00766A71" w:rsidRPr="001D316D">
        <w:rPr>
          <w:sz w:val="14"/>
          <w:szCs w:val="14"/>
          <w:lang w:val="en-GB"/>
        </w:rPr>
        <w:t xml:space="preserve">, </w:t>
      </w:r>
      <w:r w:rsidR="00766A71">
        <w:rPr>
          <w:sz w:val="14"/>
          <w:szCs w:val="14"/>
        </w:rPr>
        <w:fldChar w:fldCharType="begin" w:fldLock="1"/>
      </w:r>
      <w:r w:rsidR="00963BA9" w:rsidRPr="001D316D">
        <w:rPr>
          <w:sz w:val="14"/>
          <w:szCs w:val="14"/>
          <w:lang w:val="en-GB"/>
        </w:rPr>
        <w:instrText>ADDIN CSL_CITATION {"citationItems":[{"id":"ITEM-1","itemData":{"DOI":"10.1016/j.ijggc.2015.07.013","ISSN":"17505836","abstract":"The aim of this study is to assess whether the value of flexibility</w:instrText>
      </w:r>
      <w:r w:rsidR="00963BA9" w:rsidRPr="00A02D35">
        <w:rPr>
          <w:sz w:val="14"/>
          <w:szCs w:val="14"/>
          <w:lang w:val="es-CO"/>
        </w:rPr>
        <w:instrText xml:space="preserve"> can influence the investment decision between CO2 ship and pipeline transport and, therefore, the way the infrastructure develops. For this, the value of a carbon capture and storage project are calculated with the standard net present value (NPV) and with the least-squares Monte Carlo method, which is a real option approach (ROA).Results of the NPV and ROA show that ships are preferred for small volumes over large distances. For instance, for a design capacity of 2.5Mt/y, pipelines are preferred for 250km and ships for 500km. The ROA shows that the option value to abandon the project and to switch off the CO2 capture unit temporarily are about 2-4 and 5 times as high for the ship compared to the pipeline configurations, respectively. The option to connect to another storage reservoir has a value of &gt;1000M€ for the 10MtCO2/y configurations. Consequently, this option turns the project values positive for the 10MtCO2/y pipeline and shipping configurations over a distance of 250 and 500km.Overall, the value of flexibility did not change the preferred transportation mode from pipeline to ship transport, at least for the considered options to abandon the project, switch off the capture unit temporarily and switch to another storage reservoir. However, under the assumptions made, all 10MtCO2/y cases were not profitable with the NPV approach, while they were profitable with the ROA.","author":[{"dropping-particle":"","family":"Knoope","given":"M. M.J.","non-dropping-particle":"","parse-names":false,"suffix":""},{"dropping-particle":"","family":"Ramírez","given":"A.","non-dropping-particle":"","parse-names":false,"suffix":""},{"dropping-particle":"","family":"Faaij","given":"A. P.C.","non-dropping-particle":"","parse-names":false,"suffix":""}],"container-title":"International Journal of Greenhouse Gas Control","id":"ITEM-1","issued":{"date-parts":[["2015"]]},"page":"174-193","title":"Investing in CO2 transport infrastructure under uncertainty: A comparison between ships and pipelines","type":"article-journal","volume":"41"},"uris":["http://www.mendeley.com/documents/?uuid=9a74ace4-901c-4831-8637-cc65ac065f17"]}],"mendeley":{"formattedCitation":"(Knoope et al., 2015)","plainTextFormattedCitation":"(Knoope et al., 2015)","previouslyFormattedCitation":"(Knoope et al., 2015)"},"properties":{"noteIndex":0},"schema":"https://github.com/citation-style-language/schema/raw/master/csl-citation.json"}</w:instrText>
      </w:r>
      <w:r w:rsidR="00766A71">
        <w:rPr>
          <w:sz w:val="14"/>
          <w:szCs w:val="14"/>
        </w:rPr>
        <w:fldChar w:fldCharType="separate"/>
      </w:r>
      <w:r w:rsidR="00963BA9" w:rsidRPr="00A02D35">
        <w:rPr>
          <w:noProof/>
          <w:sz w:val="14"/>
          <w:szCs w:val="14"/>
          <w:lang w:val="es-CO"/>
        </w:rPr>
        <w:t>(Knoope et al., 2015)</w:t>
      </w:r>
      <w:r w:rsidR="00766A71">
        <w:rPr>
          <w:sz w:val="14"/>
          <w:szCs w:val="14"/>
        </w:rPr>
        <w:fldChar w:fldCharType="end"/>
      </w:r>
      <w:r w:rsidR="006478A0" w:rsidRPr="00A02D35">
        <w:rPr>
          <w:sz w:val="14"/>
          <w:szCs w:val="14"/>
          <w:lang w:val="es-CO"/>
        </w:rPr>
        <w:t xml:space="preserve">, </w:t>
      </w:r>
      <w:r w:rsidR="006478A0">
        <w:rPr>
          <w:sz w:val="14"/>
          <w:szCs w:val="14"/>
        </w:rPr>
        <w:fldChar w:fldCharType="begin" w:fldLock="1"/>
      </w:r>
      <w:r w:rsidR="00963BA9" w:rsidRPr="00A02D35">
        <w:rPr>
          <w:sz w:val="14"/>
          <w:szCs w:val="14"/>
          <w:lang w:val="es-CO"/>
        </w:rPr>
        <w:instrText>ADDIN CSL_CITATION {"citationItems":[{"id":"ITEM-1","itemData":{"DOI":"10.1016/j.ijggc.2012.11.008","ISSN":"17505836","abstract":"So far CO2 shipping has only been introduced as a secondary option for long distances and small amounts because of the prevailing idea that CO2 shipping is more expensive than CO2 pipeline for transporting large amount CO2. This paper shows that CO2 terminal and large CO2 carrier can play a role of collecting CO2 from several sources and transporting CO2 in large volume so transport cost per tonnage of CO2 can be reduce in commercialized CCS market. Multi-stage CO2 liquefaction processes are developed to reduce total cost of CO2 compression and transport. For high pressure CO2 inlet stream, newly developed multi-stage liquefaction process with serial flash tanks enables power consumption reduced to 44% compared to single stage liquefaction process. By adopting new design concept of very large CO2 Carrier more than 40,000m3, optimal size of CO2 carrier can be provided for each voyage route and total cost of CO2 compression and transport is reduced. The results of economic assessment of CO2 transport show that CO2 shipping is economically competitive to CO2 pipeline even in the distance of 200-300km for large amount of CO2 transport such as 10Mt CO2/year or 20Mt CO2/year. CO2 transport by ship should be seriously re-considered as an effective transport method for commercialized CCS projects as well as early demonstration projects. © 2012 Elsevier Ltd.","author":[{"dropping-particle":"","family":"Yoo","given":"Byeong Yong","non-dropping-particle":"","parse-names":false,"suffix":""},{"dropping-particle":"","family":"Choi","given":"Dong Kyu","non-dropping-particle":"","parse-names":false,"suffix":""},{"dropping-particle":"","family":"Kim","given":"Hyun Jin","non-dropping-particle":"","parse-names":false,"suffix":""},{"dropping-particle":"","family":"Moon","given":"Young Sik","non-dropping-particle":"","parse-names":false,"suffix":""},{"dropping-particle":"","family":"Na","given":"Hee Seung","non-dropping-particle":"","parse-names":false,"suffix":""},{"dropping-particle":"","family":"Lee","given":"Sung Geun","non-dropping-particle":"","parse-names":false,"suffix":""}],"container-title":"International Journal of Greenhouse Gas Control","id":"ITEM-1","issued":{"date-parts":[["2013"]]},"page":"323-332","title":"Development of CO2 terminal and CO2 carrier for future commercialized CCS market","type":"article-journal","volume":"12"},"uris":["http://www.mendeley.com/documents/?uuid=2470b11f-b991-4e40-84da-954c3d1a53da"]}],"mendeley":{"formattedCitation":"(Yoo et al., 2013)","plainTextFormattedCitation":"(Yoo et al., 2013)","previouslyFormattedCitation":"(Yoo et al., 2013)"},"properties":{"noteIndex":0},"schema":"https://github.com/citation-style-language/schema/raw/master/csl-citation.json"}</w:instrText>
      </w:r>
      <w:r w:rsidR="006478A0">
        <w:rPr>
          <w:sz w:val="14"/>
          <w:szCs w:val="14"/>
        </w:rPr>
        <w:fldChar w:fldCharType="separate"/>
      </w:r>
      <w:r w:rsidR="00963BA9" w:rsidRPr="00A02D35">
        <w:rPr>
          <w:noProof/>
          <w:sz w:val="14"/>
          <w:szCs w:val="14"/>
          <w:lang w:val="es-CO"/>
        </w:rPr>
        <w:t>(Yoo et al., 2013)</w:t>
      </w:r>
      <w:r w:rsidR="006478A0">
        <w:rPr>
          <w:sz w:val="14"/>
          <w:szCs w:val="14"/>
        </w:rPr>
        <w:fldChar w:fldCharType="end"/>
      </w:r>
    </w:p>
    <w:p w14:paraId="47E9F4A2" w14:textId="77777777" w:rsidR="00F15B21" w:rsidRPr="001D316D" w:rsidRDefault="00F15B21" w:rsidP="00F15B21">
      <w:pPr>
        <w:pStyle w:val="Els-body-text"/>
        <w:rPr>
          <w:lang w:val="es-CO"/>
        </w:rPr>
      </w:pPr>
    </w:p>
    <w:p w14:paraId="30139B7E" w14:textId="76E40C3E" w:rsidR="00397F51" w:rsidRPr="00CA0F24" w:rsidRDefault="00397F51" w:rsidP="00397F51">
      <w:pPr>
        <w:pStyle w:val="Els-2ndorder-head"/>
        <w:keepNext w:val="0"/>
        <w:numPr>
          <w:ilvl w:val="0"/>
          <w:numId w:val="0"/>
        </w:numPr>
        <w:spacing w:before="0"/>
        <w:rPr>
          <w:i w:val="0"/>
          <w:iCs/>
        </w:rPr>
      </w:pPr>
      <w:r w:rsidRPr="00D50821">
        <w:rPr>
          <w:i w:val="0"/>
          <w:iCs/>
          <w:lang w:val="es-CO"/>
        </w:rPr>
        <w:t>The baseline for CO</w:t>
      </w:r>
      <w:r w:rsidRPr="00D50821">
        <w:rPr>
          <w:i w:val="0"/>
          <w:iCs/>
          <w:vertAlign w:val="subscript"/>
          <w:lang w:val="es-CO"/>
        </w:rPr>
        <w:t>2</w:t>
      </w:r>
      <w:r w:rsidRPr="00D50821">
        <w:rPr>
          <w:i w:val="0"/>
          <w:iCs/>
          <w:lang w:val="es-CO"/>
        </w:rPr>
        <w:t xml:space="preserve"> emissions and data collection was</w:t>
      </w:r>
      <w:r w:rsidR="004C1787" w:rsidRPr="00D50821">
        <w:rPr>
          <w:i w:val="0"/>
          <w:iCs/>
          <w:lang w:val="es-CO"/>
        </w:rPr>
        <w:t xml:space="preserve"> for the year</w:t>
      </w:r>
      <w:r w:rsidRPr="00D50821">
        <w:rPr>
          <w:i w:val="0"/>
          <w:iCs/>
          <w:lang w:val="es-CO"/>
        </w:rPr>
        <w:t xml:space="preserve"> 2019. </w:t>
      </w:r>
      <w:r w:rsidRPr="001D316D">
        <w:rPr>
          <w:i w:val="0"/>
          <w:iCs/>
          <w:lang w:val="es-CO"/>
        </w:rPr>
        <w:t xml:space="preserve">Cost and prices for CAPEX and OPEX were updated to 2022 using the Chemical Engineering Plant Cost Index, and a currency conversion rate </w:t>
      </w:r>
      <w:r w:rsidR="004C1787" w:rsidRPr="001D316D">
        <w:rPr>
          <w:i w:val="0"/>
          <w:iCs/>
          <w:lang w:val="es-CO"/>
        </w:rPr>
        <w:t xml:space="preserve">from dollars or Colombian pesos to euros </w:t>
      </w:r>
      <w:r w:rsidR="001C557A" w:rsidRPr="001D316D">
        <w:rPr>
          <w:i w:val="0"/>
          <w:iCs/>
          <w:lang w:val="es-CO"/>
        </w:rPr>
        <w:t xml:space="preserve">in </w:t>
      </w:r>
      <w:r w:rsidRPr="001D316D">
        <w:rPr>
          <w:i w:val="0"/>
          <w:iCs/>
          <w:lang w:val="es-CO"/>
        </w:rPr>
        <w:t xml:space="preserve">2022. Prices associated with feedstocks, products, and production capacities were set according to the Colombian context. Technologies that involve biomass as feedstock considered tree species of Eucalyptus available in Colombia (E. camaldulensis, E. grandis, and E. globulus). The capacity of utilities and refining process represent the actual capacity of both oil refineries. Fuel production capacity ( i.e. gasoline, diesel, and jet fuel) was defined according to the Ecopetrol long-term production scheduling strategy. </w:t>
      </w:r>
      <w:r w:rsidRPr="00D50821">
        <w:rPr>
          <w:i w:val="0"/>
          <w:iCs/>
          <w:lang w:val="en-GB"/>
        </w:rPr>
        <w:t xml:space="preserve">Colombian electricity grid connection to refineries is 70 MW capacity, 85 €/ MWh </w:t>
      </w:r>
      <w:r w:rsidRPr="000C57EA">
        <w:rPr>
          <w:i w:val="0"/>
          <w:iCs/>
        </w:rPr>
        <w:fldChar w:fldCharType="begin" w:fldLock="1"/>
      </w:r>
      <w:r w:rsidRPr="00D50821">
        <w:rPr>
          <w:i w:val="0"/>
          <w:iCs/>
          <w:lang w:val="en-GB"/>
        </w:rPr>
        <w:instrText>ADDIN CSL_CITATION {"citationItems":[{"id":"ITEM-1","itemData":{"author":[{"dropping-particle":"","family":"XM","given":"","non-dropping-particle":"","parse-names":false,"suffix":""}],"id":"ITEM-1","issued":{"date-parts":[["2020"]]},"title":"Precio promedio y energía transada","type":"report"},"uris":["http://www.mendeley.com/documents/?uuid=8c12d4a5-eaaa-4c03-a83a-106f2686b77d"]}],"mendeley":{"formattedCitation":"(XM, 2020)","plainTextFormattedCitation":"(XM, 2020)","previouslyFormattedCitation":"(XM, 2020)"},"properties":{"noteIndex":0},"schema":"https://github.com/citation-style-language/schema/raw/master/csl</w:instrText>
      </w:r>
      <w:r w:rsidRPr="001D316D">
        <w:rPr>
          <w:i w:val="0"/>
          <w:iCs/>
          <w:lang w:val="en-GB"/>
        </w:rPr>
        <w:instrText>-c</w:instrText>
      </w:r>
      <w:r w:rsidRPr="000C57EA">
        <w:rPr>
          <w:i w:val="0"/>
          <w:iCs/>
        </w:rPr>
        <w:instrText>itation.json"}</w:instrText>
      </w:r>
      <w:r w:rsidRPr="000C57EA">
        <w:rPr>
          <w:i w:val="0"/>
          <w:iCs/>
        </w:rPr>
        <w:fldChar w:fldCharType="separate"/>
      </w:r>
      <w:r w:rsidRPr="000C57EA">
        <w:rPr>
          <w:i w:val="0"/>
          <w:iCs/>
          <w:noProof/>
        </w:rPr>
        <w:t>(XM, 2020)</w:t>
      </w:r>
      <w:r w:rsidRPr="000C57EA">
        <w:rPr>
          <w:i w:val="0"/>
          <w:iCs/>
        </w:rPr>
        <w:fldChar w:fldCharType="end"/>
      </w:r>
      <w:r w:rsidRPr="000C57EA">
        <w:rPr>
          <w:i w:val="0"/>
          <w:iCs/>
        </w:rPr>
        <w:t xml:space="preserve">, and </w:t>
      </w:r>
      <w:r>
        <w:rPr>
          <w:i w:val="0"/>
          <w:iCs/>
        </w:rPr>
        <w:t xml:space="preserve">with </w:t>
      </w:r>
      <w:r w:rsidRPr="000C57EA">
        <w:rPr>
          <w:i w:val="0"/>
          <w:iCs/>
        </w:rPr>
        <w:t>a Carbon footprint of 186 kg CO</w:t>
      </w:r>
      <w:r w:rsidRPr="000C57EA">
        <w:rPr>
          <w:i w:val="0"/>
          <w:iCs/>
          <w:vertAlign w:val="subscript"/>
        </w:rPr>
        <w:t>2</w:t>
      </w:r>
      <w:r w:rsidRPr="000C57EA">
        <w:rPr>
          <w:i w:val="0"/>
          <w:iCs/>
        </w:rPr>
        <w:t xml:space="preserve"> / </w:t>
      </w:r>
      <w:proofErr w:type="spellStart"/>
      <w:r w:rsidRPr="000C57EA">
        <w:rPr>
          <w:i w:val="0"/>
          <w:iCs/>
        </w:rPr>
        <w:t>MWhe</w:t>
      </w:r>
      <w:proofErr w:type="spellEnd"/>
      <w:r w:rsidRPr="000C57EA">
        <w:rPr>
          <w:i w:val="0"/>
          <w:iCs/>
        </w:rPr>
        <w:t xml:space="preserve"> (128 kg CO</w:t>
      </w:r>
      <w:r w:rsidRPr="000C57EA">
        <w:rPr>
          <w:i w:val="0"/>
          <w:iCs/>
          <w:vertAlign w:val="subscript"/>
        </w:rPr>
        <w:t>2</w:t>
      </w:r>
      <w:r w:rsidRPr="000C57EA">
        <w:rPr>
          <w:i w:val="0"/>
          <w:iCs/>
        </w:rPr>
        <w:t xml:space="preserve"> / </w:t>
      </w:r>
      <w:proofErr w:type="spellStart"/>
      <w:r w:rsidRPr="000C57EA">
        <w:rPr>
          <w:i w:val="0"/>
          <w:iCs/>
        </w:rPr>
        <w:t>MWhe</w:t>
      </w:r>
      <w:proofErr w:type="spellEnd"/>
      <w:r w:rsidRPr="000C57EA">
        <w:rPr>
          <w:i w:val="0"/>
          <w:iCs/>
        </w:rPr>
        <w:t xml:space="preserve">, according to Unidad de </w:t>
      </w:r>
      <w:proofErr w:type="spellStart"/>
      <w:r w:rsidRPr="000C57EA">
        <w:rPr>
          <w:i w:val="0"/>
          <w:iCs/>
        </w:rPr>
        <w:t>Planeación</w:t>
      </w:r>
      <w:proofErr w:type="spellEnd"/>
      <w:r w:rsidRPr="000C57EA">
        <w:rPr>
          <w:i w:val="0"/>
          <w:iCs/>
        </w:rPr>
        <w:t xml:space="preserve"> </w:t>
      </w:r>
      <w:proofErr w:type="spellStart"/>
      <w:r w:rsidRPr="000C57EA">
        <w:rPr>
          <w:i w:val="0"/>
          <w:iCs/>
        </w:rPr>
        <w:t>Minero</w:t>
      </w:r>
      <w:proofErr w:type="spellEnd"/>
      <w:r w:rsidRPr="000C57EA">
        <w:rPr>
          <w:i w:val="0"/>
          <w:iCs/>
        </w:rPr>
        <w:t xml:space="preserve"> </w:t>
      </w:r>
      <w:proofErr w:type="spellStart"/>
      <w:r w:rsidRPr="000C57EA">
        <w:rPr>
          <w:i w:val="0"/>
          <w:iCs/>
        </w:rPr>
        <w:t>Energética</w:t>
      </w:r>
      <w:proofErr w:type="spellEnd"/>
      <w:r w:rsidRPr="000C57EA">
        <w:rPr>
          <w:i w:val="0"/>
          <w:iCs/>
        </w:rPr>
        <w:t xml:space="preserve"> (UPME) </w:t>
      </w:r>
      <w:r>
        <w:rPr>
          <w:i w:val="0"/>
          <w:iCs/>
        </w:rPr>
        <w:t>(</w:t>
      </w:r>
      <w:r w:rsidRPr="000C57EA">
        <w:rPr>
          <w:i w:val="0"/>
          <w:iCs/>
        </w:rPr>
        <w:fldChar w:fldCharType="begin" w:fldLock="1"/>
      </w:r>
      <w:r>
        <w:rPr>
          <w:i w:val="0"/>
          <w:iCs/>
        </w:rPr>
        <w:instrText>ADDIN CSL_CITATION {"citationItems":[{"id":"ITEM-1","itemData":{"author":[{"dropping-particle":"","family":"Unidad de Planeación Minero Energética (UPME).","given":"","non-dropping-particle":"","parse-names":false,"suffix":""}],"id":"ITEM-1","issued":{"date-parts":[["2019"]]},"title":"Documento de cálculo del Factor de emisión de SIN 2018","type":"report"},"uris":["http://www.mendeley.com/documents/?uuid=1e0411bc-d05b-45a4-b5d6-088e793a1128"]}],"mendeley":{"formattedCitation":"(Unidad de Planeación Minero Energética (UPME)., 2019)","manualFormatting":"UPME., 2019)","plainTextFormattedCitation":"(Unidad de Planeación Minero Energética (UPME)., 2019)","previouslyFormattedCitation":"(Unidad de Planeación Minero Energética (UPME)., 2019)"},"properties":{"noteIndex":0},"schema":"https://github.com/citation-style-language/schema/raw/master/csl-citation.json"}</w:instrText>
      </w:r>
      <w:r w:rsidRPr="000C57EA">
        <w:rPr>
          <w:i w:val="0"/>
          <w:iCs/>
        </w:rPr>
        <w:fldChar w:fldCharType="separate"/>
      </w:r>
      <w:r w:rsidRPr="000C57EA">
        <w:rPr>
          <w:i w:val="0"/>
          <w:iCs/>
          <w:noProof/>
        </w:rPr>
        <w:t>UPME., 2019)</w:t>
      </w:r>
      <w:r w:rsidRPr="000C57EA">
        <w:rPr>
          <w:i w:val="0"/>
          <w:iCs/>
        </w:rPr>
        <w:fldChar w:fldCharType="end"/>
      </w:r>
      <w:r w:rsidRPr="000C57EA">
        <w:rPr>
          <w:i w:val="0"/>
          <w:iCs/>
        </w:rPr>
        <w:t>.</w:t>
      </w:r>
      <w:r w:rsidRPr="00CA0F24">
        <w:rPr>
          <w:i w:val="0"/>
          <w:iCs/>
        </w:rPr>
        <w:t xml:space="preserve"> </w:t>
      </w:r>
    </w:p>
    <w:p w14:paraId="128ABB70" w14:textId="1E525B92" w:rsidR="00E515AA" w:rsidRDefault="00110056" w:rsidP="008A66FB">
      <w:pPr>
        <w:pStyle w:val="Els-2ndorder-head"/>
        <w:keepNext w:val="0"/>
        <w:numPr>
          <w:ilvl w:val="0"/>
          <w:numId w:val="0"/>
        </w:numPr>
        <w:spacing w:before="0"/>
        <w:jc w:val="center"/>
        <w:rPr>
          <w:i w:val="0"/>
          <w:iCs/>
        </w:rPr>
      </w:pPr>
      <w:r>
        <w:rPr>
          <w:noProof/>
        </w:rPr>
        <w:lastRenderedPageBreak/>
        <w:drawing>
          <wp:inline distT="0" distB="0" distL="0" distR="0" wp14:anchorId="0BD86E27" wp14:editId="138F6D75">
            <wp:extent cx="3041015" cy="1727180"/>
            <wp:effectExtent l="0" t="0" r="6985" b="6985"/>
            <wp:docPr id="1264780987"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80987" name="Picture 1" descr="A diagram of a network&#10;&#10;Description automatically generated"/>
                    <pic:cNvPicPr/>
                  </pic:nvPicPr>
                  <pic:blipFill>
                    <a:blip r:embed="rId11"/>
                    <a:stretch>
                      <a:fillRect/>
                    </a:stretch>
                  </pic:blipFill>
                  <pic:spPr>
                    <a:xfrm>
                      <a:off x="0" y="0"/>
                      <a:ext cx="3078578" cy="1748515"/>
                    </a:xfrm>
                    <a:prstGeom prst="rect">
                      <a:avLst/>
                    </a:prstGeom>
                  </pic:spPr>
                </pic:pic>
              </a:graphicData>
            </a:graphic>
          </wp:inline>
        </w:drawing>
      </w:r>
    </w:p>
    <w:p w14:paraId="6F458277" w14:textId="2ECCACC5" w:rsidR="00E515AA" w:rsidRDefault="00E515AA" w:rsidP="008A66FB">
      <w:pPr>
        <w:pStyle w:val="Didascalia"/>
        <w:keepLines w:val="0"/>
        <w:spacing w:before="0" w:after="0"/>
      </w:pPr>
      <w:bookmarkStart w:id="10" w:name="_Ref150720226"/>
      <w:r>
        <w:t xml:space="preserve">Figure </w:t>
      </w:r>
      <w:r>
        <w:fldChar w:fldCharType="begin"/>
      </w:r>
      <w:r>
        <w:instrText xml:space="preserve"> SEQ Figure \* ARABIC </w:instrText>
      </w:r>
      <w:r>
        <w:fldChar w:fldCharType="separate"/>
      </w:r>
      <w:r w:rsidR="00A9524D">
        <w:rPr>
          <w:noProof/>
        </w:rPr>
        <w:t>1</w:t>
      </w:r>
      <w:r>
        <w:fldChar w:fldCharType="end"/>
      </w:r>
      <w:bookmarkEnd w:id="10"/>
      <w:r>
        <w:t xml:space="preserve">. </w:t>
      </w:r>
      <w:r w:rsidRPr="00926F23">
        <w:t>Linny-</w:t>
      </w:r>
      <w:r>
        <w:t xml:space="preserve">R Model. </w:t>
      </w:r>
      <w:r w:rsidR="00397F51">
        <w:t>Screenshot of the m</w:t>
      </w:r>
      <w:r>
        <w:t>ain layer</w:t>
      </w:r>
    </w:p>
    <w:p w14:paraId="3C92AE7E" w14:textId="77777777" w:rsidR="008356C4" w:rsidRPr="008356C4" w:rsidRDefault="008356C4" w:rsidP="008A66FB">
      <w:pPr>
        <w:pStyle w:val="Els-1storder-head"/>
        <w:keepNext w:val="0"/>
        <w:spacing w:before="0" w:after="0"/>
      </w:pPr>
      <w:r w:rsidRPr="008356C4">
        <w:t>Results and discussion</w:t>
      </w:r>
    </w:p>
    <w:p w14:paraId="2608A50D" w14:textId="63D65635" w:rsidR="003F5780" w:rsidRPr="000C57EA" w:rsidRDefault="00376CB7" w:rsidP="008A66FB">
      <w:pPr>
        <w:pStyle w:val="Els-body-text"/>
      </w:pPr>
      <w:r>
        <w:t xml:space="preserve">The </w:t>
      </w:r>
      <w:r w:rsidR="002F4050">
        <w:t>impact</w:t>
      </w:r>
      <w:r w:rsidR="006415DD">
        <w:t xml:space="preserve"> of implementing the low-carbon H2 technologies</w:t>
      </w:r>
      <w:r w:rsidR="002F4050">
        <w:t xml:space="preserve"> on </w:t>
      </w:r>
      <w:r w:rsidR="004C1787">
        <w:t xml:space="preserve">the </w:t>
      </w:r>
      <w:r>
        <w:t>energy and CO</w:t>
      </w:r>
      <w:r w:rsidRPr="004F6915">
        <w:rPr>
          <w:vertAlign w:val="subscript"/>
        </w:rPr>
        <w:t xml:space="preserve">2 </w:t>
      </w:r>
      <w:r>
        <w:t>balance</w:t>
      </w:r>
      <w:r w:rsidR="004F6915">
        <w:t>s</w:t>
      </w:r>
      <w:r>
        <w:t xml:space="preserve"> </w:t>
      </w:r>
      <w:r w:rsidR="004C1787">
        <w:t xml:space="preserve">of the two </w:t>
      </w:r>
      <w:r w:rsidR="001C557A">
        <w:t xml:space="preserve">refineries is </w:t>
      </w:r>
      <w:r>
        <w:t>shown in</w:t>
      </w:r>
      <w:r w:rsidR="001F1583">
        <w:t xml:space="preserve"> </w:t>
      </w:r>
      <w:r w:rsidR="001F1583" w:rsidRPr="001F1583">
        <w:fldChar w:fldCharType="begin"/>
      </w:r>
      <w:r w:rsidR="001F1583" w:rsidRPr="001F1583">
        <w:instrText xml:space="preserve"> REF _Ref154076418 \h </w:instrText>
      </w:r>
      <w:r w:rsidR="001F1583" w:rsidRPr="00A02D35">
        <w:instrText xml:space="preserve"> \* MERGEFORMAT </w:instrText>
      </w:r>
      <w:r w:rsidR="001F1583" w:rsidRPr="001F1583">
        <w:fldChar w:fldCharType="separate"/>
      </w:r>
      <w:r w:rsidR="001F1583" w:rsidRPr="001F1583">
        <w:t xml:space="preserve">Table </w:t>
      </w:r>
      <w:r w:rsidR="001F1583" w:rsidRPr="001F1583">
        <w:rPr>
          <w:noProof/>
        </w:rPr>
        <w:t>5</w:t>
      </w:r>
      <w:r w:rsidR="001F1583" w:rsidRPr="001F1583">
        <w:fldChar w:fldCharType="end"/>
      </w:r>
      <w:r w:rsidR="002F4050">
        <w:t xml:space="preserve">. </w:t>
      </w:r>
      <w:r w:rsidR="006415DD">
        <w:t>In both cases</w:t>
      </w:r>
      <w:r w:rsidR="003F5780">
        <w:t xml:space="preserve">, the results show </w:t>
      </w:r>
      <w:r w:rsidR="003F5780" w:rsidRPr="000C57EA">
        <w:t>a significant reduction of CO</w:t>
      </w:r>
      <w:r w:rsidR="003F5780" w:rsidRPr="000C57EA">
        <w:rPr>
          <w:vertAlign w:val="subscript"/>
        </w:rPr>
        <w:t>2</w:t>
      </w:r>
      <w:r w:rsidR="003F5780" w:rsidRPr="000C57EA">
        <w:t xml:space="preserve"> emissions in the short term (26% and 23% for </w:t>
      </w:r>
      <w:r w:rsidR="003F5780">
        <w:t>HC</w:t>
      </w:r>
      <w:r w:rsidR="003F5780" w:rsidRPr="000C57EA">
        <w:t xml:space="preserve"> and </w:t>
      </w:r>
      <w:r w:rsidR="003F5780">
        <w:t>MC</w:t>
      </w:r>
      <w:r w:rsidR="003F5780" w:rsidRPr="000C57EA">
        <w:t xml:space="preserve"> configurations, respectively) and </w:t>
      </w:r>
      <w:r w:rsidR="003F5780">
        <w:t xml:space="preserve">they </w:t>
      </w:r>
      <w:r w:rsidR="003F5780" w:rsidRPr="000C57EA">
        <w:t>me</w:t>
      </w:r>
      <w:r w:rsidR="004C1787">
        <w:t>e</w:t>
      </w:r>
      <w:r w:rsidR="003F5780" w:rsidRPr="000C57EA">
        <w:t>t the target of CO</w:t>
      </w:r>
      <w:r w:rsidR="003F5780" w:rsidRPr="000C57EA">
        <w:rPr>
          <w:vertAlign w:val="subscript"/>
        </w:rPr>
        <w:t>2</w:t>
      </w:r>
      <w:r w:rsidR="003F5780" w:rsidRPr="000C57EA">
        <w:t xml:space="preserve"> neutrality in 2050. The SMR with CC </w:t>
      </w:r>
      <w:r w:rsidR="004C1787">
        <w:t>is</w:t>
      </w:r>
      <w:r w:rsidR="003F5780" w:rsidRPr="000C57EA">
        <w:t xml:space="preserve"> the most cost-effective technology to produce hydrogen</w:t>
      </w:r>
      <w:r w:rsidR="004C1787">
        <w:t xml:space="preserve">, with a </w:t>
      </w:r>
      <w:r w:rsidR="006415DD">
        <w:t>production price</w:t>
      </w:r>
      <w:r w:rsidR="003F5780" w:rsidRPr="000C57EA">
        <w:t xml:space="preserve"> </w:t>
      </w:r>
      <w:r w:rsidR="004C1787">
        <w:t>between</w:t>
      </w:r>
      <w:r w:rsidR="003F5780" w:rsidRPr="000C57EA">
        <w:t xml:space="preserve"> 1.0 </w:t>
      </w:r>
      <w:r w:rsidR="004C1787">
        <w:t>and</w:t>
      </w:r>
      <w:r w:rsidR="003F5780" w:rsidRPr="000C57EA">
        <w:t xml:space="preserve"> 1.5 €/kg lower than H</w:t>
      </w:r>
      <w:proofErr w:type="gramStart"/>
      <w:r w:rsidR="003F5780" w:rsidRPr="000C57EA">
        <w:rPr>
          <w:vertAlign w:val="subscript"/>
        </w:rPr>
        <w:t xml:space="preserve">2 </w:t>
      </w:r>
      <w:r w:rsidR="003F5780" w:rsidRPr="000C57EA">
        <w:t xml:space="preserve"> based</w:t>
      </w:r>
      <w:proofErr w:type="gramEnd"/>
      <w:r w:rsidR="003F5780" w:rsidRPr="000C57EA">
        <w:t xml:space="preserve"> on PEM electrolysis (using REN between 30-40 €/MWh)</w:t>
      </w:r>
      <w:r w:rsidR="004C1787">
        <w:t xml:space="preserve">. It </w:t>
      </w:r>
      <w:r w:rsidR="003F5780" w:rsidRPr="000C57EA">
        <w:t>reach</w:t>
      </w:r>
      <w:r w:rsidR="004C1787">
        <w:t>es</w:t>
      </w:r>
      <w:r w:rsidR="003F5780" w:rsidRPr="000C57EA">
        <w:t xml:space="preserve"> the same production price in the lon</w:t>
      </w:r>
      <w:r w:rsidR="003F5780">
        <w:t>g</w:t>
      </w:r>
      <w:r w:rsidR="003F5780" w:rsidRPr="000C57EA">
        <w:t>-term horizon with</w:t>
      </w:r>
      <w:r w:rsidR="004C1787">
        <w:t xml:space="preserve"> a</w:t>
      </w:r>
      <w:r w:rsidR="003F5780" w:rsidRPr="000C57EA">
        <w:t xml:space="preserve"> REN of 30 €/MWh and </w:t>
      </w:r>
      <w:r w:rsidR="004C1787">
        <w:t>a</w:t>
      </w:r>
      <w:r w:rsidR="004C1787" w:rsidRPr="000C57EA">
        <w:t xml:space="preserve"> </w:t>
      </w:r>
      <w:r w:rsidR="003F5780" w:rsidRPr="000C57EA">
        <w:t>forecast</w:t>
      </w:r>
      <w:r w:rsidR="003F5780">
        <w:t>ed</w:t>
      </w:r>
      <w:r w:rsidR="003F5780" w:rsidRPr="000C57EA">
        <w:t xml:space="preserve"> incremental price of natural gas.</w:t>
      </w:r>
    </w:p>
    <w:p w14:paraId="2EB8BAE8" w14:textId="77777777" w:rsidR="004C1787" w:rsidRDefault="004C1787" w:rsidP="00E515AA">
      <w:pPr>
        <w:pStyle w:val="Els-caption"/>
        <w:keepLines w:val="0"/>
        <w:spacing w:before="0" w:after="0"/>
        <w:jc w:val="both"/>
        <w:rPr>
          <w:sz w:val="20"/>
        </w:rPr>
      </w:pPr>
    </w:p>
    <w:p w14:paraId="1ECB2B82" w14:textId="30B60A98" w:rsidR="00616DBE" w:rsidRDefault="00616DBE" w:rsidP="00E515AA">
      <w:pPr>
        <w:pStyle w:val="Els-caption"/>
        <w:keepLines w:val="0"/>
        <w:spacing w:before="0" w:after="0"/>
        <w:jc w:val="both"/>
        <w:rPr>
          <w:sz w:val="20"/>
        </w:rPr>
      </w:pPr>
      <w:r>
        <w:rPr>
          <w:sz w:val="20"/>
        </w:rPr>
        <w:t>Hydrogen</w:t>
      </w:r>
      <w:r w:rsidR="0086322F">
        <w:rPr>
          <w:sz w:val="20"/>
        </w:rPr>
        <w:t xml:space="preserve"> based on </w:t>
      </w:r>
      <w:r w:rsidR="0086322F" w:rsidRPr="002F4050">
        <w:rPr>
          <w:sz w:val="20"/>
        </w:rPr>
        <w:t>Biomass</w:t>
      </w:r>
      <w:r w:rsidR="0086322F">
        <w:rPr>
          <w:sz w:val="20"/>
        </w:rPr>
        <w:t xml:space="preserve">+ CC </w:t>
      </w:r>
      <w:r w:rsidR="0086322F" w:rsidRPr="002F4050">
        <w:rPr>
          <w:sz w:val="20"/>
        </w:rPr>
        <w:t xml:space="preserve">emerges as a viable option </w:t>
      </w:r>
      <w:r w:rsidR="0086322F">
        <w:rPr>
          <w:sz w:val="20"/>
        </w:rPr>
        <w:t>to achieve CO</w:t>
      </w:r>
      <w:r w:rsidR="0086322F" w:rsidRPr="005F75FD">
        <w:rPr>
          <w:sz w:val="20"/>
          <w:vertAlign w:val="subscript"/>
        </w:rPr>
        <w:t>2</w:t>
      </w:r>
      <w:r w:rsidR="0086322F">
        <w:rPr>
          <w:sz w:val="20"/>
        </w:rPr>
        <w:t xml:space="preserve"> emissions neutrality in the </w:t>
      </w:r>
      <w:proofErr w:type="gramStart"/>
      <w:r w:rsidR="0086322F">
        <w:rPr>
          <w:sz w:val="20"/>
        </w:rPr>
        <w:t>long</w:t>
      </w:r>
      <w:r w:rsidR="001C557A">
        <w:rPr>
          <w:sz w:val="20"/>
        </w:rPr>
        <w:t xml:space="preserve"> term</w:t>
      </w:r>
      <w:proofErr w:type="gramEnd"/>
      <w:r w:rsidR="0086322F">
        <w:rPr>
          <w:sz w:val="20"/>
        </w:rPr>
        <w:t xml:space="preserve"> horizon, </w:t>
      </w:r>
      <w:r w:rsidR="0086322F" w:rsidRPr="002F4050">
        <w:rPr>
          <w:sz w:val="20"/>
        </w:rPr>
        <w:t xml:space="preserve">despite having a production cost that is 2-3 €/kg higher </w:t>
      </w:r>
      <w:r w:rsidR="004C1787">
        <w:rPr>
          <w:sz w:val="20"/>
        </w:rPr>
        <w:t>than the</w:t>
      </w:r>
      <w:r w:rsidR="0086322F" w:rsidRPr="002F4050">
        <w:rPr>
          <w:sz w:val="20"/>
        </w:rPr>
        <w:t xml:space="preserve"> SMR-CC and REN-PEM </w:t>
      </w:r>
      <w:proofErr w:type="spellStart"/>
      <w:r w:rsidR="0086322F" w:rsidRPr="002F4050">
        <w:rPr>
          <w:sz w:val="20"/>
        </w:rPr>
        <w:t>electrolyzer</w:t>
      </w:r>
      <w:proofErr w:type="spellEnd"/>
      <w:r w:rsidR="0086322F" w:rsidRPr="002F4050">
        <w:rPr>
          <w:sz w:val="20"/>
        </w:rPr>
        <w:t xml:space="preserve"> alternatives. </w:t>
      </w:r>
      <w:r w:rsidR="006415DD">
        <w:rPr>
          <w:sz w:val="20"/>
        </w:rPr>
        <w:t>This is due to</w:t>
      </w:r>
      <w:r w:rsidR="0086322F" w:rsidRPr="002F4050">
        <w:rPr>
          <w:sz w:val="20"/>
        </w:rPr>
        <w:t xml:space="preserve"> the significant advantage it provides as a "negative emissions process (NET)</w:t>
      </w:r>
      <w:proofErr w:type="gramStart"/>
      <w:r w:rsidR="0086322F" w:rsidRPr="002F4050">
        <w:rPr>
          <w:sz w:val="20"/>
        </w:rPr>
        <w:t>"  when</w:t>
      </w:r>
      <w:proofErr w:type="gramEnd"/>
      <w:r w:rsidR="0086322F" w:rsidRPr="002F4050">
        <w:rPr>
          <w:sz w:val="20"/>
        </w:rPr>
        <w:t xml:space="preserve"> both biomass H</w:t>
      </w:r>
      <w:r w:rsidR="0086322F" w:rsidRPr="002F4050">
        <w:rPr>
          <w:sz w:val="20"/>
          <w:vertAlign w:val="subscript"/>
        </w:rPr>
        <w:t>2</w:t>
      </w:r>
      <w:r w:rsidR="0086322F" w:rsidRPr="002F4050">
        <w:rPr>
          <w:sz w:val="20"/>
        </w:rPr>
        <w:t xml:space="preserve"> and the biomass electricity process are accompanied by </w:t>
      </w:r>
      <w:r w:rsidR="004C1787">
        <w:rPr>
          <w:sz w:val="20"/>
        </w:rPr>
        <w:t>CCS</w:t>
      </w:r>
      <w:r w:rsidR="0086322F">
        <w:rPr>
          <w:sz w:val="20"/>
        </w:rPr>
        <w:t>.</w:t>
      </w:r>
      <w:r w:rsidR="0086322F" w:rsidRPr="002F4050">
        <w:rPr>
          <w:sz w:val="20"/>
        </w:rPr>
        <w:t xml:space="preserve"> Biomass processes</w:t>
      </w:r>
      <w:r w:rsidR="006415DD">
        <w:rPr>
          <w:sz w:val="20"/>
        </w:rPr>
        <w:t xml:space="preserve"> alone</w:t>
      </w:r>
      <w:r w:rsidR="004C1787">
        <w:rPr>
          <w:sz w:val="20"/>
        </w:rPr>
        <w:t xml:space="preserve"> (withou</w:t>
      </w:r>
      <w:r w:rsidR="001C557A">
        <w:rPr>
          <w:sz w:val="20"/>
        </w:rPr>
        <w:t>t</w:t>
      </w:r>
      <w:r w:rsidR="004C1787">
        <w:rPr>
          <w:sz w:val="20"/>
        </w:rPr>
        <w:t xml:space="preserve"> CCS)</w:t>
      </w:r>
      <w:r w:rsidR="0086322F" w:rsidRPr="002F4050">
        <w:rPr>
          <w:sz w:val="20"/>
        </w:rPr>
        <w:t xml:space="preserve"> contribute to a CO</w:t>
      </w:r>
      <w:r w:rsidR="0086322F" w:rsidRPr="002F4050">
        <w:rPr>
          <w:sz w:val="20"/>
          <w:vertAlign w:val="subscript"/>
        </w:rPr>
        <w:t>2</w:t>
      </w:r>
      <w:r w:rsidR="0086322F" w:rsidRPr="002F4050">
        <w:rPr>
          <w:sz w:val="20"/>
        </w:rPr>
        <w:t xml:space="preserve"> reduction of </w:t>
      </w:r>
      <w:r w:rsidR="0086322F">
        <w:rPr>
          <w:sz w:val="20"/>
        </w:rPr>
        <w:t>13</w:t>
      </w:r>
      <w:r w:rsidR="0086322F" w:rsidRPr="002F4050">
        <w:rPr>
          <w:sz w:val="20"/>
        </w:rPr>
        <w:t xml:space="preserve">% for </w:t>
      </w:r>
      <w:r w:rsidR="0086322F">
        <w:rPr>
          <w:sz w:val="20"/>
        </w:rPr>
        <w:t>both</w:t>
      </w:r>
      <w:r w:rsidR="0086322F" w:rsidRPr="002F4050">
        <w:rPr>
          <w:sz w:val="20"/>
        </w:rPr>
        <w:t xml:space="preserve"> refinery configurations, </w:t>
      </w:r>
      <w:r w:rsidR="00716F7E">
        <w:rPr>
          <w:sz w:val="20"/>
        </w:rPr>
        <w:t>with</w:t>
      </w:r>
      <w:r w:rsidR="006415DD">
        <w:rPr>
          <w:sz w:val="20"/>
        </w:rPr>
        <w:t xml:space="preserve"> respect to</w:t>
      </w:r>
      <w:r w:rsidR="006415DD" w:rsidRPr="002F4050">
        <w:rPr>
          <w:sz w:val="20"/>
        </w:rPr>
        <w:t xml:space="preserve"> </w:t>
      </w:r>
      <w:r w:rsidR="0086322F" w:rsidRPr="002F4050">
        <w:rPr>
          <w:sz w:val="20"/>
        </w:rPr>
        <w:t xml:space="preserve">the baseline. </w:t>
      </w:r>
      <w:r w:rsidRPr="002F4050">
        <w:rPr>
          <w:sz w:val="20"/>
        </w:rPr>
        <w:t>The results do</w:t>
      </w:r>
      <w:r>
        <w:rPr>
          <w:sz w:val="20"/>
        </w:rPr>
        <w:t xml:space="preserve"> </w:t>
      </w:r>
      <w:r w:rsidRPr="002F4050">
        <w:rPr>
          <w:sz w:val="20"/>
        </w:rPr>
        <w:t>n</w:t>
      </w:r>
      <w:r>
        <w:rPr>
          <w:sz w:val="20"/>
        </w:rPr>
        <w:t>o</w:t>
      </w:r>
      <w:r w:rsidRPr="002F4050">
        <w:rPr>
          <w:sz w:val="20"/>
        </w:rPr>
        <w:t xml:space="preserve">t show any </w:t>
      </w:r>
      <w:r w:rsidR="004C1787">
        <w:rPr>
          <w:sz w:val="20"/>
        </w:rPr>
        <w:t xml:space="preserve">limitation </w:t>
      </w:r>
      <w:r w:rsidRPr="002F4050">
        <w:rPr>
          <w:sz w:val="20"/>
        </w:rPr>
        <w:t xml:space="preserve">concerning </w:t>
      </w:r>
      <w:r w:rsidR="001C557A">
        <w:rPr>
          <w:sz w:val="20"/>
        </w:rPr>
        <w:t xml:space="preserve">the </w:t>
      </w:r>
      <w:r w:rsidR="004C1787" w:rsidRPr="002F4050">
        <w:rPr>
          <w:sz w:val="20"/>
        </w:rPr>
        <w:t xml:space="preserve">availability </w:t>
      </w:r>
      <w:r w:rsidR="004C1787">
        <w:rPr>
          <w:sz w:val="20"/>
        </w:rPr>
        <w:t xml:space="preserve">of </w:t>
      </w:r>
      <w:r w:rsidRPr="002F4050">
        <w:rPr>
          <w:sz w:val="20"/>
        </w:rPr>
        <w:t>CO</w:t>
      </w:r>
      <w:r w:rsidRPr="002F4050">
        <w:rPr>
          <w:sz w:val="20"/>
          <w:vertAlign w:val="subscript"/>
        </w:rPr>
        <w:t>2</w:t>
      </w:r>
      <w:r w:rsidRPr="002F4050">
        <w:rPr>
          <w:sz w:val="20"/>
        </w:rPr>
        <w:t xml:space="preserve"> underground reservoir. For the </w:t>
      </w:r>
      <w:r>
        <w:rPr>
          <w:sz w:val="20"/>
        </w:rPr>
        <w:t>MC</w:t>
      </w:r>
      <w:r w:rsidRPr="002F4050">
        <w:rPr>
          <w:sz w:val="20"/>
        </w:rPr>
        <w:t xml:space="preserve"> refinery</w:t>
      </w:r>
      <w:r>
        <w:rPr>
          <w:sz w:val="20"/>
        </w:rPr>
        <w:t>,</w:t>
      </w:r>
      <w:r w:rsidRPr="002F4050">
        <w:rPr>
          <w:sz w:val="20"/>
        </w:rPr>
        <w:t xml:space="preserve"> the</w:t>
      </w:r>
      <w:r w:rsidR="009A61A6">
        <w:rPr>
          <w:sz w:val="20"/>
        </w:rPr>
        <w:t xml:space="preserve"> </w:t>
      </w:r>
      <w:r w:rsidRPr="002F4050">
        <w:rPr>
          <w:sz w:val="20"/>
        </w:rPr>
        <w:t>onshore capacity</w:t>
      </w:r>
      <w:r>
        <w:rPr>
          <w:sz w:val="20"/>
        </w:rPr>
        <w:t xml:space="preserve"> (64 Mt CO</w:t>
      </w:r>
      <w:r w:rsidRPr="005F75FD">
        <w:rPr>
          <w:sz w:val="20"/>
          <w:vertAlign w:val="subscript"/>
        </w:rPr>
        <w:t>2</w:t>
      </w:r>
      <w:r>
        <w:rPr>
          <w:sz w:val="20"/>
        </w:rPr>
        <w:t>)</w:t>
      </w:r>
      <w:r w:rsidRPr="002F4050">
        <w:rPr>
          <w:sz w:val="20"/>
        </w:rPr>
        <w:t xml:space="preserve"> </w:t>
      </w:r>
      <w:r w:rsidR="006415DD">
        <w:rPr>
          <w:sz w:val="20"/>
        </w:rPr>
        <w:t>wa</w:t>
      </w:r>
      <w:r w:rsidRPr="002F4050">
        <w:rPr>
          <w:sz w:val="20"/>
        </w:rPr>
        <w:t xml:space="preserve">s enough until 2050 horizon. The </w:t>
      </w:r>
      <w:r>
        <w:rPr>
          <w:sz w:val="20"/>
        </w:rPr>
        <w:t>HC</w:t>
      </w:r>
      <w:r w:rsidRPr="002F4050">
        <w:rPr>
          <w:sz w:val="20"/>
        </w:rPr>
        <w:t xml:space="preserve"> Refinery </w:t>
      </w:r>
      <w:r>
        <w:rPr>
          <w:sz w:val="20"/>
        </w:rPr>
        <w:t>will use</w:t>
      </w:r>
      <w:r w:rsidRPr="002F4050">
        <w:rPr>
          <w:sz w:val="20"/>
        </w:rPr>
        <w:t xml:space="preserve"> 100 % </w:t>
      </w:r>
      <w:r w:rsidR="004C1787">
        <w:rPr>
          <w:sz w:val="20"/>
        </w:rPr>
        <w:t>o</w:t>
      </w:r>
      <w:r w:rsidR="004C1787" w:rsidRPr="002F4050">
        <w:rPr>
          <w:sz w:val="20"/>
        </w:rPr>
        <w:t xml:space="preserve">nshore </w:t>
      </w:r>
      <w:r>
        <w:rPr>
          <w:sz w:val="20"/>
        </w:rPr>
        <w:t>(12 Mt CO</w:t>
      </w:r>
      <w:r w:rsidRPr="005F75FD">
        <w:rPr>
          <w:sz w:val="20"/>
          <w:vertAlign w:val="subscript"/>
        </w:rPr>
        <w:t>2</w:t>
      </w:r>
      <w:r>
        <w:rPr>
          <w:sz w:val="20"/>
        </w:rPr>
        <w:t xml:space="preserve">) </w:t>
      </w:r>
      <w:r w:rsidRPr="002F4050">
        <w:rPr>
          <w:sz w:val="20"/>
        </w:rPr>
        <w:t xml:space="preserve">and </w:t>
      </w:r>
      <w:r>
        <w:rPr>
          <w:sz w:val="20"/>
        </w:rPr>
        <w:t>32</w:t>
      </w:r>
      <w:r w:rsidRPr="002F4050">
        <w:rPr>
          <w:sz w:val="20"/>
        </w:rPr>
        <w:t xml:space="preserve"> % Colombian </w:t>
      </w:r>
      <w:r w:rsidR="004C1787">
        <w:rPr>
          <w:sz w:val="20"/>
        </w:rPr>
        <w:t>o</w:t>
      </w:r>
      <w:r w:rsidR="004C1787" w:rsidRPr="002F4050">
        <w:rPr>
          <w:sz w:val="20"/>
        </w:rPr>
        <w:t xml:space="preserve">ffshore </w:t>
      </w:r>
      <w:r w:rsidRPr="002F4050">
        <w:rPr>
          <w:sz w:val="20"/>
        </w:rPr>
        <w:t>of its CO</w:t>
      </w:r>
      <w:r w:rsidRPr="002F4050">
        <w:rPr>
          <w:sz w:val="20"/>
          <w:vertAlign w:val="subscript"/>
        </w:rPr>
        <w:t xml:space="preserve">2 </w:t>
      </w:r>
      <w:r w:rsidRPr="002F4050">
        <w:rPr>
          <w:sz w:val="20"/>
        </w:rPr>
        <w:t xml:space="preserve">storage capacity by 2050. </w:t>
      </w:r>
      <w:r w:rsidR="006415DD">
        <w:rPr>
          <w:sz w:val="20"/>
        </w:rPr>
        <w:t>Similarly</w:t>
      </w:r>
      <w:r w:rsidRPr="002F4050">
        <w:rPr>
          <w:sz w:val="20"/>
        </w:rPr>
        <w:t xml:space="preserve">, </w:t>
      </w:r>
      <w:r>
        <w:rPr>
          <w:sz w:val="20"/>
        </w:rPr>
        <w:t>the MC</w:t>
      </w:r>
      <w:r w:rsidRPr="002F4050">
        <w:rPr>
          <w:sz w:val="20"/>
        </w:rPr>
        <w:t xml:space="preserve"> refinery </w:t>
      </w:r>
      <w:r>
        <w:rPr>
          <w:sz w:val="20"/>
        </w:rPr>
        <w:t>will use</w:t>
      </w:r>
      <w:r w:rsidRPr="002F4050">
        <w:rPr>
          <w:sz w:val="20"/>
        </w:rPr>
        <w:t xml:space="preserve"> </w:t>
      </w:r>
      <w:r>
        <w:rPr>
          <w:sz w:val="20"/>
        </w:rPr>
        <w:t>93</w:t>
      </w:r>
      <w:r w:rsidRPr="002F4050">
        <w:rPr>
          <w:sz w:val="20"/>
        </w:rPr>
        <w:t xml:space="preserve"> % of </w:t>
      </w:r>
      <w:r>
        <w:rPr>
          <w:sz w:val="20"/>
        </w:rPr>
        <w:t xml:space="preserve">the </w:t>
      </w:r>
      <w:r w:rsidR="004C1787">
        <w:rPr>
          <w:sz w:val="20"/>
        </w:rPr>
        <w:t>o</w:t>
      </w:r>
      <w:r w:rsidRPr="002F4050">
        <w:rPr>
          <w:sz w:val="20"/>
        </w:rPr>
        <w:t>n-shore of its CO</w:t>
      </w:r>
      <w:r w:rsidRPr="002F4050">
        <w:rPr>
          <w:sz w:val="20"/>
          <w:vertAlign w:val="subscript"/>
        </w:rPr>
        <w:t xml:space="preserve">2 </w:t>
      </w:r>
      <w:r w:rsidRPr="002F4050">
        <w:rPr>
          <w:sz w:val="20"/>
        </w:rPr>
        <w:t>storage capacity by 2050.</w:t>
      </w:r>
    </w:p>
    <w:p w14:paraId="41F69A2D" w14:textId="77777777" w:rsidR="004C1787" w:rsidRDefault="004C1787" w:rsidP="00E515AA">
      <w:pPr>
        <w:pStyle w:val="Els-caption"/>
        <w:keepLines w:val="0"/>
        <w:spacing w:before="0" w:after="0"/>
        <w:jc w:val="both"/>
        <w:rPr>
          <w:sz w:val="20"/>
        </w:rPr>
      </w:pPr>
    </w:p>
    <w:p w14:paraId="560DE480" w14:textId="21247BAB" w:rsidR="005E63D3" w:rsidRDefault="00661BF7" w:rsidP="00A02D35">
      <w:pPr>
        <w:pStyle w:val="Didascalia"/>
      </w:pPr>
      <w:bookmarkStart w:id="11" w:name="_Ref150774137"/>
      <w:r w:rsidRPr="00A02D35">
        <w:rPr>
          <w:b/>
          <w:bCs/>
        </w:rPr>
        <w:t xml:space="preserve">Table </w:t>
      </w:r>
      <w:r w:rsidRPr="00A02D35">
        <w:rPr>
          <w:b/>
          <w:bCs/>
        </w:rPr>
        <w:fldChar w:fldCharType="begin"/>
      </w:r>
      <w:r w:rsidRPr="00A02D35">
        <w:rPr>
          <w:b/>
          <w:bCs/>
        </w:rPr>
        <w:instrText xml:space="preserve"> SEQ Table \* ARABIC </w:instrText>
      </w:r>
      <w:r w:rsidRPr="00A02D35">
        <w:rPr>
          <w:b/>
          <w:bCs/>
        </w:rPr>
        <w:fldChar w:fldCharType="separate"/>
      </w:r>
      <w:r w:rsidRPr="00A02D35">
        <w:rPr>
          <w:b/>
          <w:bCs/>
          <w:noProof/>
        </w:rPr>
        <w:t>6</w:t>
      </w:r>
      <w:r w:rsidRPr="00A02D35">
        <w:rPr>
          <w:b/>
          <w:bCs/>
        </w:rPr>
        <w:fldChar w:fldCharType="end"/>
      </w:r>
      <w:r w:rsidR="001F1583" w:rsidRPr="00A02D35">
        <w:rPr>
          <w:b/>
          <w:bCs/>
        </w:rPr>
        <w:t>.</w:t>
      </w:r>
      <w:r w:rsidR="001F1583">
        <w:t xml:space="preserve"> </w:t>
      </w:r>
      <w:bookmarkEnd w:id="11"/>
      <w:r w:rsidR="002F4050">
        <w:t>Energy and CO</w:t>
      </w:r>
      <w:r w:rsidR="002F4050" w:rsidRPr="002F4050">
        <w:rPr>
          <w:vertAlign w:val="subscript"/>
        </w:rPr>
        <w:t>2</w:t>
      </w:r>
      <w:r w:rsidR="002F4050">
        <w:t xml:space="preserve"> impacts in oil refineries</w:t>
      </w:r>
      <w:r w:rsidR="00DE4B0B" w:rsidRPr="00DE4B0B" w:rsidDel="00364EDC">
        <w:t xml:space="preserve"> </w:t>
      </w:r>
    </w:p>
    <w:p w14:paraId="21162346" w14:textId="14602B85" w:rsidR="002D15CA" w:rsidRDefault="00610FED" w:rsidP="001D316D">
      <w:pPr>
        <w:pStyle w:val="Didascalia"/>
        <w:keepLines w:val="0"/>
        <w:spacing w:before="0" w:after="0"/>
        <w:jc w:val="center"/>
        <w:rPr>
          <w:noProof/>
        </w:rPr>
      </w:pPr>
      <w:r>
        <w:rPr>
          <w:noProof/>
        </w:rPr>
        <w:drawing>
          <wp:inline distT="0" distB="0" distL="0" distR="0" wp14:anchorId="6A5893C2" wp14:editId="535A4A40">
            <wp:extent cx="3749673" cy="1714500"/>
            <wp:effectExtent l="0" t="0" r="3810" b="0"/>
            <wp:docPr id="22419725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97253" name="Picture 1" descr="A screenshot of a computer screen&#10;&#10;Description automatically generated"/>
                    <pic:cNvPicPr/>
                  </pic:nvPicPr>
                  <pic:blipFill>
                    <a:blip r:embed="rId12"/>
                    <a:stretch>
                      <a:fillRect/>
                    </a:stretch>
                  </pic:blipFill>
                  <pic:spPr>
                    <a:xfrm>
                      <a:off x="0" y="0"/>
                      <a:ext cx="3816644" cy="1745122"/>
                    </a:xfrm>
                    <a:prstGeom prst="rect">
                      <a:avLst/>
                    </a:prstGeom>
                  </pic:spPr>
                </pic:pic>
              </a:graphicData>
            </a:graphic>
          </wp:inline>
        </w:drawing>
      </w:r>
    </w:p>
    <w:p w14:paraId="74F25E59" w14:textId="57E0AE88" w:rsidR="0035607A" w:rsidRPr="002F4050" w:rsidRDefault="006A46BF" w:rsidP="0035607A">
      <w:pPr>
        <w:pStyle w:val="Els-body-text"/>
        <w:rPr>
          <w:szCs w:val="22"/>
        </w:rPr>
      </w:pPr>
      <w:r w:rsidRPr="006A46BF">
        <w:lastRenderedPageBreak/>
        <w:t xml:space="preserve">The impact of the refinery's level of complexity on the utilization of low-carbon hydrogen is evident in the short-term </w:t>
      </w:r>
      <w:r w:rsidR="004C1787">
        <w:t>scenario</w:t>
      </w:r>
      <w:r w:rsidRPr="006A46BF">
        <w:t>. In the high-complexity (HC) refinery, a substantial reduction (26%) in CO</w:t>
      </w:r>
      <w:r w:rsidRPr="00A02D35">
        <w:rPr>
          <w:vertAlign w:val="subscript"/>
        </w:rPr>
        <w:t>2</w:t>
      </w:r>
      <w:r w:rsidRPr="006A46BF">
        <w:t xml:space="preserve"> emissions was achieved, with 36% attributed to bio-electricity with CC used in </w:t>
      </w:r>
      <w:r w:rsidR="004C1787">
        <w:t xml:space="preserve">the </w:t>
      </w:r>
      <w:proofErr w:type="spellStart"/>
      <w:r w:rsidRPr="006A46BF">
        <w:t>electrolyzers</w:t>
      </w:r>
      <w:proofErr w:type="spellEnd"/>
      <w:r w:rsidRPr="006A46BF">
        <w:t>. In contrast, the medium-complexity (MC) refinery achieved a 17% reduction in CO</w:t>
      </w:r>
      <w:r w:rsidRPr="00A02D35">
        <w:rPr>
          <w:vertAlign w:val="subscript"/>
        </w:rPr>
        <w:t>2</w:t>
      </w:r>
      <w:r w:rsidRPr="006A46BF">
        <w:t xml:space="preserve"> emissions, with 74% credited to bio-electricity with CC. For the long term, MC refineries gained an edge through the implementation of CO</w:t>
      </w:r>
      <w:r w:rsidRPr="00A02D35">
        <w:rPr>
          <w:vertAlign w:val="subscript"/>
        </w:rPr>
        <w:t>2</w:t>
      </w:r>
      <w:r w:rsidRPr="006A46BF">
        <w:t xml:space="preserve"> capture from flue gas produced by fossil fuel combustion, resulting </w:t>
      </w:r>
      <w:r w:rsidR="001C557A">
        <w:t xml:space="preserve">in an </w:t>
      </w:r>
      <w:r w:rsidRPr="006A46BF">
        <w:t>85% reduction in total CO</w:t>
      </w:r>
      <w:r w:rsidRPr="001D316D">
        <w:rPr>
          <w:vertAlign w:val="subscript"/>
        </w:rPr>
        <w:t>2</w:t>
      </w:r>
      <w:r w:rsidRPr="006A46BF">
        <w:t xml:space="preserve"> emissions, in comparison to the </w:t>
      </w:r>
      <w:r w:rsidR="002C7F26">
        <w:t>72</w:t>
      </w:r>
      <w:r w:rsidRPr="006A46BF">
        <w:t xml:space="preserve">% reduction achieved </w:t>
      </w:r>
      <w:r w:rsidR="002C7F26">
        <w:t>in the</w:t>
      </w:r>
      <w:r w:rsidR="002C7F26" w:rsidRPr="006A46BF">
        <w:t xml:space="preserve"> </w:t>
      </w:r>
      <w:r w:rsidRPr="006A46BF">
        <w:t>HC refinery configurations.</w:t>
      </w:r>
      <w:r w:rsidR="001C557A">
        <w:t xml:space="preserve"> </w:t>
      </w:r>
      <w:commentRangeStart w:id="12"/>
      <w:r w:rsidR="0035607A" w:rsidRPr="00BB320C">
        <w:rPr>
          <w:lang w:val="en-GB"/>
        </w:rPr>
        <w:t>Th</w:t>
      </w:r>
      <w:r w:rsidR="0035607A">
        <w:rPr>
          <w:lang w:val="en-GB"/>
        </w:rPr>
        <w:t xml:space="preserve">e decarbonization </w:t>
      </w:r>
      <w:r w:rsidR="0035607A" w:rsidRPr="00BB320C">
        <w:rPr>
          <w:lang w:val="en-GB"/>
        </w:rPr>
        <w:t xml:space="preserve">technologies for the high-complexity refinery </w:t>
      </w:r>
      <w:r w:rsidR="0035607A">
        <w:rPr>
          <w:lang w:val="en-GB"/>
        </w:rPr>
        <w:t>are</w:t>
      </w:r>
      <w:r w:rsidR="0035607A" w:rsidRPr="00BB320C">
        <w:rPr>
          <w:lang w:val="en-GB"/>
        </w:rPr>
        <w:t xml:space="preserve"> oriented towards renewable energy (REN) and </w:t>
      </w:r>
      <w:proofErr w:type="spellStart"/>
      <w:r w:rsidR="0035607A" w:rsidRPr="00BB320C">
        <w:rPr>
          <w:lang w:val="en-GB"/>
        </w:rPr>
        <w:t>electrolyzers</w:t>
      </w:r>
      <w:proofErr w:type="spellEnd"/>
      <w:r w:rsidR="0035607A">
        <w:rPr>
          <w:lang w:val="en-GB"/>
        </w:rPr>
        <w:t>;</w:t>
      </w:r>
      <w:r w:rsidR="0035607A" w:rsidRPr="00BB320C">
        <w:rPr>
          <w:lang w:val="en-GB"/>
        </w:rPr>
        <w:t xml:space="preserve"> whereas for the medium-complexity refinery, the optimization focuses on biomass + CC electricity and</w:t>
      </w:r>
      <w:r w:rsidR="006F262F">
        <w:rPr>
          <w:lang w:val="en-GB"/>
        </w:rPr>
        <w:t xml:space="preserve"> </w:t>
      </w:r>
      <w:r w:rsidR="0035607A" w:rsidRPr="00BB320C">
        <w:rPr>
          <w:lang w:val="en-GB"/>
        </w:rPr>
        <w:t xml:space="preserve">gasification to produce low-carbon hydrogen. </w:t>
      </w:r>
      <w:r w:rsidR="0035607A">
        <w:rPr>
          <w:lang w:val="en-GB"/>
        </w:rPr>
        <w:t>In b</w:t>
      </w:r>
      <w:r w:rsidR="0035607A" w:rsidRPr="00BB320C">
        <w:rPr>
          <w:lang w:val="en-GB"/>
        </w:rPr>
        <w:t>oth cases</w:t>
      </w:r>
      <w:r w:rsidR="0035607A">
        <w:rPr>
          <w:lang w:val="en-GB"/>
        </w:rPr>
        <w:t>, the</w:t>
      </w:r>
      <w:r w:rsidR="0035607A" w:rsidRPr="00BB320C">
        <w:rPr>
          <w:lang w:val="en-GB"/>
        </w:rPr>
        <w:t xml:space="preserve"> Naphtha reformer + CC process </w:t>
      </w:r>
      <w:r w:rsidR="0035607A">
        <w:rPr>
          <w:lang w:val="en-GB"/>
        </w:rPr>
        <w:t>was shown to</w:t>
      </w:r>
      <w:r w:rsidR="0035607A" w:rsidRPr="00BB320C">
        <w:rPr>
          <w:lang w:val="en-GB"/>
        </w:rPr>
        <w:t xml:space="preserve"> be the </w:t>
      </w:r>
      <w:r w:rsidR="0035607A">
        <w:rPr>
          <w:lang w:val="en-GB"/>
        </w:rPr>
        <w:t>less expensiv</w:t>
      </w:r>
      <w:r w:rsidR="0035607A" w:rsidRPr="00BB320C">
        <w:rPr>
          <w:lang w:val="en-GB"/>
        </w:rPr>
        <w:t>e way to produce low-carbon hydrogen, playing a significant role in the decarbonization pathways in the long-term horizon.</w:t>
      </w:r>
      <w:r w:rsidR="0035607A">
        <w:rPr>
          <w:lang w:val="en-GB"/>
        </w:rPr>
        <w:t xml:space="preserve"> </w:t>
      </w:r>
      <w:r w:rsidR="0035607A" w:rsidRPr="002F4050">
        <w:t>Biomass-based H</w:t>
      </w:r>
      <w:r w:rsidR="0035607A" w:rsidRPr="002F4050">
        <w:rPr>
          <w:vertAlign w:val="subscript"/>
        </w:rPr>
        <w:t>2</w:t>
      </w:r>
      <w:r w:rsidR="0035607A" w:rsidRPr="002F4050">
        <w:t xml:space="preserve"> </w:t>
      </w:r>
      <w:r w:rsidR="0035607A">
        <w:t xml:space="preserve">with CC </w:t>
      </w:r>
      <w:r w:rsidR="0035607A" w:rsidRPr="002F4050">
        <w:t xml:space="preserve">emerges as a viable option post-2030, despite having a </w:t>
      </w:r>
      <w:r w:rsidR="0035607A">
        <w:t xml:space="preserve">higher hydrogen </w:t>
      </w:r>
      <w:r w:rsidR="0035607A" w:rsidRPr="002F4050">
        <w:t xml:space="preserve">production cost. </w:t>
      </w:r>
      <w:r w:rsidR="0035607A" w:rsidRPr="002F4050">
        <w:rPr>
          <w:szCs w:val="22"/>
        </w:rPr>
        <w:t xml:space="preserve">The benefits </w:t>
      </w:r>
      <w:r w:rsidR="0035607A">
        <w:rPr>
          <w:szCs w:val="22"/>
        </w:rPr>
        <w:t>will likely</w:t>
      </w:r>
      <w:r w:rsidR="0035607A" w:rsidRPr="002F4050">
        <w:rPr>
          <w:szCs w:val="22"/>
        </w:rPr>
        <w:t xml:space="preserve"> far outweigh the negative impact on the Oil refinery's cash flow.</w:t>
      </w:r>
      <w:commentRangeEnd w:id="12"/>
      <w:r w:rsidR="0035607A">
        <w:rPr>
          <w:rStyle w:val="Rimandocommento"/>
          <w:lang w:val="en-GB"/>
        </w:rPr>
        <w:commentReference w:id="12"/>
      </w:r>
    </w:p>
    <w:p w14:paraId="0BFA0A8A" w14:textId="77777777" w:rsidR="002C7F26" w:rsidDel="006A46BF" w:rsidRDefault="002C7F26" w:rsidP="00E515AA">
      <w:pPr>
        <w:pStyle w:val="Els-caption"/>
        <w:keepLines w:val="0"/>
        <w:spacing w:before="0" w:after="0"/>
        <w:jc w:val="both"/>
        <w:rPr>
          <w:sz w:val="20"/>
        </w:rPr>
      </w:pPr>
    </w:p>
    <w:p w14:paraId="144DE6BA" w14:textId="77777777" w:rsidR="008D2649" w:rsidRPr="00A94774" w:rsidRDefault="008D2649" w:rsidP="008A66FB">
      <w:pPr>
        <w:pStyle w:val="Els-1storder-head"/>
        <w:keepNext w:val="0"/>
        <w:spacing w:before="0" w:after="0"/>
        <w:rPr>
          <w:lang w:val="en-GB"/>
        </w:rPr>
      </w:pPr>
      <w:r w:rsidRPr="00A94774">
        <w:rPr>
          <w:lang w:val="en-GB"/>
        </w:rPr>
        <w:t>Conclusions</w:t>
      </w:r>
    </w:p>
    <w:p w14:paraId="0FF35590" w14:textId="5A2AC7FD" w:rsidR="009E5076" w:rsidRDefault="009E5076" w:rsidP="008A66FB">
      <w:pPr>
        <w:pStyle w:val="Els-body-text"/>
        <w:rPr>
          <w:lang w:val="en-GB"/>
        </w:rPr>
      </w:pPr>
      <w:r>
        <w:rPr>
          <w:lang w:val="en-GB"/>
        </w:rPr>
        <w:t>The combination of low-carbon hydrogen production and CO</w:t>
      </w:r>
      <w:r w:rsidRPr="009E5076">
        <w:rPr>
          <w:vertAlign w:val="subscript"/>
          <w:lang w:val="en-GB"/>
        </w:rPr>
        <w:t>2</w:t>
      </w:r>
      <w:r>
        <w:rPr>
          <w:lang w:val="en-GB"/>
        </w:rPr>
        <w:t xml:space="preserve"> capture technologies provide</w:t>
      </w:r>
      <w:r w:rsidR="002F4050">
        <w:rPr>
          <w:lang w:val="en-GB"/>
        </w:rPr>
        <w:t>s</w:t>
      </w:r>
      <w:r>
        <w:rPr>
          <w:lang w:val="en-GB"/>
        </w:rPr>
        <w:t xml:space="preserve"> for both types of </w:t>
      </w:r>
      <w:r w:rsidR="006415DD">
        <w:rPr>
          <w:lang w:val="en-GB"/>
        </w:rPr>
        <w:t>o</w:t>
      </w:r>
      <w:r>
        <w:rPr>
          <w:lang w:val="en-GB"/>
        </w:rPr>
        <w:t xml:space="preserve">il refineries </w:t>
      </w:r>
      <w:r w:rsidR="006415DD">
        <w:rPr>
          <w:lang w:val="en-GB"/>
        </w:rPr>
        <w:t xml:space="preserve">a </w:t>
      </w:r>
      <w:r>
        <w:rPr>
          <w:lang w:val="en-GB"/>
        </w:rPr>
        <w:t>pathway to achieve the CO</w:t>
      </w:r>
      <w:r w:rsidRPr="009E5076">
        <w:rPr>
          <w:vertAlign w:val="subscript"/>
          <w:lang w:val="en-GB"/>
        </w:rPr>
        <w:t>2</w:t>
      </w:r>
      <w:r>
        <w:rPr>
          <w:lang w:val="en-GB"/>
        </w:rPr>
        <w:t xml:space="preserve"> reduction target committed by Ecopetrol in the short-term (75</w:t>
      </w:r>
      <w:r w:rsidR="002F4050">
        <w:rPr>
          <w:lang w:val="en-GB"/>
        </w:rPr>
        <w:t xml:space="preserve"> </w:t>
      </w:r>
      <w:r>
        <w:rPr>
          <w:lang w:val="en-GB"/>
        </w:rPr>
        <w:t>%) and CO</w:t>
      </w:r>
      <w:r w:rsidRPr="009E5076">
        <w:rPr>
          <w:vertAlign w:val="subscript"/>
          <w:lang w:val="en-GB"/>
        </w:rPr>
        <w:t>2</w:t>
      </w:r>
      <w:r>
        <w:rPr>
          <w:lang w:val="en-GB"/>
        </w:rPr>
        <w:t xml:space="preserve"> neutrality in the long-term.</w:t>
      </w:r>
    </w:p>
    <w:p w14:paraId="10620930" w14:textId="162B36AD" w:rsidR="00BB320C" w:rsidRPr="00BB320C" w:rsidRDefault="00BB320C" w:rsidP="008A66FB">
      <w:pPr>
        <w:pStyle w:val="Els-body-text"/>
        <w:rPr>
          <w:lang w:val="en-GB"/>
        </w:rPr>
      </w:pPr>
      <w:r w:rsidRPr="00BB320C">
        <w:rPr>
          <w:lang w:val="en-GB"/>
        </w:rPr>
        <w:t xml:space="preserve">The level of complexity in </w:t>
      </w:r>
      <w:r w:rsidR="009E5076">
        <w:rPr>
          <w:lang w:val="en-GB"/>
        </w:rPr>
        <w:t xml:space="preserve">oil </w:t>
      </w:r>
      <w:r w:rsidRPr="00BB320C">
        <w:rPr>
          <w:lang w:val="en-GB"/>
        </w:rPr>
        <w:t xml:space="preserve">refineries significantly impacts the decarbonization process, with </w:t>
      </w:r>
      <w:r w:rsidR="006415DD">
        <w:rPr>
          <w:lang w:val="en-GB"/>
        </w:rPr>
        <w:t xml:space="preserve">the </w:t>
      </w:r>
      <w:r w:rsidRPr="00BB320C">
        <w:rPr>
          <w:lang w:val="en-GB"/>
        </w:rPr>
        <w:t>high-complexity refiner</w:t>
      </w:r>
      <w:r w:rsidR="006415DD">
        <w:rPr>
          <w:lang w:val="en-GB"/>
        </w:rPr>
        <w:t>y</w:t>
      </w:r>
      <w:r w:rsidRPr="00BB320C">
        <w:rPr>
          <w:lang w:val="en-GB"/>
        </w:rPr>
        <w:t xml:space="preserve"> benefiting from low-carbon H</w:t>
      </w:r>
      <w:r w:rsidRPr="009E5076">
        <w:rPr>
          <w:vertAlign w:val="subscript"/>
          <w:lang w:val="en-GB"/>
        </w:rPr>
        <w:t>2</w:t>
      </w:r>
      <w:r w:rsidRPr="00BB320C">
        <w:rPr>
          <w:lang w:val="en-GB"/>
        </w:rPr>
        <w:t xml:space="preserve"> as feedstock for the processes and </w:t>
      </w:r>
      <w:r w:rsidR="006415DD">
        <w:rPr>
          <w:lang w:val="en-GB"/>
        </w:rPr>
        <w:t xml:space="preserve">the </w:t>
      </w:r>
      <w:r w:rsidRPr="00BB320C">
        <w:rPr>
          <w:lang w:val="en-GB"/>
        </w:rPr>
        <w:t>medium-complexity refiner</w:t>
      </w:r>
      <w:r w:rsidR="006415DD">
        <w:rPr>
          <w:lang w:val="en-GB"/>
        </w:rPr>
        <w:t>y</w:t>
      </w:r>
      <w:r w:rsidRPr="00BB320C">
        <w:rPr>
          <w:lang w:val="en-GB"/>
        </w:rPr>
        <w:t xml:space="preserve"> relying more on CO</w:t>
      </w:r>
      <w:r w:rsidRPr="009E5076">
        <w:rPr>
          <w:vertAlign w:val="subscript"/>
          <w:lang w:val="en-GB"/>
        </w:rPr>
        <w:t>2</w:t>
      </w:r>
      <w:r w:rsidRPr="00BB320C">
        <w:rPr>
          <w:lang w:val="en-GB"/>
        </w:rPr>
        <w:t xml:space="preserve"> capture in combination with hydrogen as an alternative fuel. </w:t>
      </w:r>
      <w:r w:rsidR="001C557A">
        <w:rPr>
          <w:lang w:val="en-GB"/>
        </w:rPr>
        <w:t xml:space="preserve">However, </w:t>
      </w:r>
      <w:r w:rsidR="008A4533">
        <w:rPr>
          <w:lang w:val="en-GB"/>
        </w:rPr>
        <w:t>the CO</w:t>
      </w:r>
      <w:r w:rsidR="008A4533" w:rsidRPr="00A02D35">
        <w:rPr>
          <w:vertAlign w:val="subscript"/>
          <w:lang w:val="en-GB"/>
        </w:rPr>
        <w:t>2</w:t>
      </w:r>
      <w:r w:rsidR="008A4533">
        <w:rPr>
          <w:lang w:val="en-GB"/>
        </w:rPr>
        <w:t xml:space="preserve"> emissions reduction </w:t>
      </w:r>
      <w:commentRangeStart w:id="13"/>
      <w:r w:rsidR="006415DD">
        <w:rPr>
          <w:lang w:val="en-GB"/>
        </w:rPr>
        <w:t>is</w:t>
      </w:r>
      <w:r w:rsidRPr="00BB320C">
        <w:rPr>
          <w:lang w:val="en-GB"/>
        </w:rPr>
        <w:t xml:space="preserve"> limited </w:t>
      </w:r>
      <w:commentRangeEnd w:id="13"/>
      <w:r w:rsidR="002C7F26">
        <w:rPr>
          <w:rStyle w:val="Rimandocommento"/>
          <w:lang w:val="en-GB"/>
        </w:rPr>
        <w:commentReference w:id="13"/>
      </w:r>
      <w:r w:rsidR="00716F7E">
        <w:rPr>
          <w:lang w:val="en-GB"/>
        </w:rPr>
        <w:t xml:space="preserve">because of </w:t>
      </w:r>
      <w:r w:rsidR="00A54B0C">
        <w:rPr>
          <w:lang w:val="en-GB"/>
        </w:rPr>
        <w:t xml:space="preserve">the </w:t>
      </w:r>
      <w:r w:rsidR="00716F7E">
        <w:rPr>
          <w:lang w:val="en-GB"/>
        </w:rPr>
        <w:t xml:space="preserve">avoiding flaring of surplus </w:t>
      </w:r>
      <w:r w:rsidRPr="00BB320C">
        <w:rPr>
          <w:lang w:val="en-GB"/>
        </w:rPr>
        <w:t>fuel gas</w:t>
      </w:r>
      <w:r w:rsidR="00716F7E">
        <w:rPr>
          <w:lang w:val="en-GB"/>
        </w:rPr>
        <w:t xml:space="preserve"> generated</w:t>
      </w:r>
      <w:r w:rsidR="005A3FBA">
        <w:rPr>
          <w:lang w:val="en-GB"/>
        </w:rPr>
        <w:t xml:space="preserve"> as a consequence of the fuel shifting process</w:t>
      </w:r>
      <w:r w:rsidRPr="00BB320C">
        <w:rPr>
          <w:lang w:val="en-GB"/>
        </w:rPr>
        <w:t xml:space="preserve">. </w:t>
      </w:r>
    </w:p>
    <w:p w14:paraId="6BD622B0" w14:textId="018F7A33" w:rsidR="00BB320C" w:rsidRDefault="00BB320C" w:rsidP="00E515AA">
      <w:pPr>
        <w:pStyle w:val="Els-body-text"/>
        <w:rPr>
          <w:lang w:val="en-GB"/>
        </w:rPr>
      </w:pPr>
      <w:r w:rsidRPr="00BB320C">
        <w:rPr>
          <w:lang w:val="en-GB"/>
        </w:rPr>
        <w:t>However, a significant challenge lies in identifying suitable applications for surplus refinery fuel gas beyond its conventional use in combustion within boilers and furnaces will be necessary in future research.</w:t>
      </w:r>
    </w:p>
    <w:p w14:paraId="37D56F8D" w14:textId="77777777" w:rsidR="00E515AA" w:rsidRDefault="00E515AA" w:rsidP="008A66FB">
      <w:pPr>
        <w:pStyle w:val="Els-body-text"/>
        <w:rPr>
          <w:lang w:val="en-GB"/>
        </w:rPr>
      </w:pPr>
    </w:p>
    <w:p w14:paraId="144DE6BF" w14:textId="608D0AD6" w:rsidR="008D2649" w:rsidRDefault="008D2649" w:rsidP="008A66FB">
      <w:pPr>
        <w:pStyle w:val="Els-reference-head"/>
        <w:keepNext w:val="0"/>
        <w:spacing w:before="0" w:after="0"/>
        <w:rPr>
          <w:sz w:val="20"/>
          <w:szCs w:val="20"/>
        </w:rPr>
      </w:pPr>
      <w:r w:rsidRPr="009A1FD4">
        <w:rPr>
          <w:sz w:val="20"/>
          <w:szCs w:val="20"/>
        </w:rPr>
        <w:t>References</w:t>
      </w:r>
    </w:p>
    <w:p w14:paraId="237D2D75" w14:textId="77777777" w:rsidR="009A61A6" w:rsidRPr="00A02D35" w:rsidRDefault="009A61A6" w:rsidP="009A61A6">
      <w:pPr>
        <w:pStyle w:val="Els-referenceno-number"/>
        <w:rPr>
          <w:szCs w:val="18"/>
          <w:lang w:val="nl-NL"/>
        </w:rPr>
      </w:pPr>
      <w:r w:rsidRPr="006F00E6">
        <w:rPr>
          <w:szCs w:val="18"/>
          <w:lang w:val="en-US"/>
        </w:rPr>
        <w:t xml:space="preserve">Bots, P. (2022). Linny-r. </w:t>
      </w:r>
      <w:r w:rsidRPr="00A02D35">
        <w:rPr>
          <w:szCs w:val="18"/>
          <w:lang w:val="nl-NL"/>
        </w:rPr>
        <w:t>In Version 1.0.15. https://sysmod.tbm.tudelft.nl/linny-r/docs/?15</w:t>
      </w:r>
    </w:p>
    <w:p w14:paraId="1445ADA2" w14:textId="77777777" w:rsidR="009A61A6" w:rsidRPr="006F00E6" w:rsidRDefault="009A61A6" w:rsidP="00A02D35">
      <w:pPr>
        <w:pStyle w:val="Els-referenceno-number"/>
        <w:jc w:val="both"/>
        <w:rPr>
          <w:szCs w:val="18"/>
          <w:lang w:val="en-US"/>
        </w:rPr>
      </w:pPr>
      <w:r w:rsidRPr="00A02D35">
        <w:rPr>
          <w:szCs w:val="18"/>
          <w:lang w:val="nl-NL"/>
        </w:rPr>
        <w:t xml:space="preserve">Canova, W. (ecopetrol). </w:t>
      </w:r>
      <w:r w:rsidRPr="006F00E6">
        <w:rPr>
          <w:szCs w:val="18"/>
          <w:lang w:val="en-US"/>
        </w:rPr>
        <w:t>(2021). Decarbonization Strategy of Ecopetrol Downstream sector. LARTC The Latin American Refining Technology Conference, 18.</w:t>
      </w:r>
    </w:p>
    <w:p w14:paraId="5022E84E" w14:textId="393F0A27" w:rsidR="009A61A6" w:rsidRPr="00A02D35" w:rsidRDefault="009A61A6" w:rsidP="00A02D35">
      <w:pPr>
        <w:pStyle w:val="Els-referenceno-number"/>
        <w:jc w:val="both"/>
        <w:rPr>
          <w:szCs w:val="18"/>
          <w:lang w:val="es-CO"/>
        </w:rPr>
      </w:pPr>
      <w:r w:rsidRPr="006F00E6">
        <w:rPr>
          <w:szCs w:val="18"/>
          <w:lang w:val="en-US"/>
        </w:rPr>
        <w:t xml:space="preserve">IDEAM, Fundación Natura, PNUD, MADS, DNP, C. (2022). </w:t>
      </w:r>
      <w:r w:rsidR="007E19BA" w:rsidRPr="00A02D35">
        <w:rPr>
          <w:szCs w:val="18"/>
          <w:lang w:val="es-CO"/>
        </w:rPr>
        <w:t>I</w:t>
      </w:r>
      <w:r w:rsidR="007E19BA" w:rsidRPr="006F00E6">
        <w:rPr>
          <w:szCs w:val="18"/>
          <w:lang w:val="es-CO"/>
        </w:rPr>
        <w:t xml:space="preserve">nforme del inventario nacional de gases efecto invernadero 1990-2018 y carbono negro 2010-2018 de Colombia </w:t>
      </w:r>
      <w:r w:rsidRPr="00A02D35">
        <w:rPr>
          <w:szCs w:val="18"/>
          <w:lang w:val="es-CO"/>
        </w:rPr>
        <w:t>. www.cambioclimatico.</w:t>
      </w:r>
      <w:r w:rsidR="007E19BA" w:rsidRPr="006F00E6">
        <w:rPr>
          <w:szCs w:val="18"/>
          <w:lang w:val="es-CO"/>
        </w:rPr>
        <w:t>com</w:t>
      </w:r>
    </w:p>
    <w:p w14:paraId="6636EAF9" w14:textId="4C146EAE" w:rsidR="009A61A6" w:rsidRPr="006F00E6" w:rsidRDefault="009A61A6" w:rsidP="00A02D35">
      <w:pPr>
        <w:pStyle w:val="Els-referenceno-number"/>
        <w:jc w:val="both"/>
        <w:rPr>
          <w:szCs w:val="18"/>
          <w:lang w:val="en-US"/>
        </w:rPr>
      </w:pPr>
      <w:r w:rsidRPr="006F00E6">
        <w:rPr>
          <w:szCs w:val="18"/>
          <w:lang w:val="en-US"/>
        </w:rPr>
        <w:t xml:space="preserve">IEAGHG. (2017). IEAGHG Technical Review August 2017 Understanding the Cost of Retrofitting CO2 </w:t>
      </w:r>
      <w:r w:rsidR="001C557A">
        <w:rPr>
          <w:szCs w:val="18"/>
          <w:lang w:val="en-US"/>
        </w:rPr>
        <w:t>C</w:t>
      </w:r>
      <w:r w:rsidR="001C557A" w:rsidRPr="006F00E6">
        <w:rPr>
          <w:szCs w:val="18"/>
          <w:lang w:val="en-US"/>
        </w:rPr>
        <w:t xml:space="preserve">apture </w:t>
      </w:r>
      <w:r w:rsidRPr="006F00E6">
        <w:rPr>
          <w:szCs w:val="18"/>
          <w:lang w:val="en-US"/>
        </w:rPr>
        <w:t>in an Integrated Oil Refinery. August.</w:t>
      </w:r>
      <w:r w:rsidR="001C557A">
        <w:rPr>
          <w:szCs w:val="18"/>
          <w:lang w:val="en-US"/>
        </w:rPr>
        <w:t xml:space="preserve"> </w:t>
      </w:r>
      <w:r w:rsidRPr="006F00E6">
        <w:rPr>
          <w:szCs w:val="18"/>
          <w:lang w:val="en-US"/>
        </w:rPr>
        <w:t>https://ieaghg.org/docs/General_Docs/Reports/2017-TR8.pdf</w:t>
      </w:r>
    </w:p>
    <w:p w14:paraId="63E14F36" w14:textId="77777777" w:rsidR="009A61A6" w:rsidRPr="006F00E6" w:rsidRDefault="009A61A6" w:rsidP="00A02D35">
      <w:pPr>
        <w:pStyle w:val="Els-referenceno-number"/>
        <w:jc w:val="both"/>
        <w:rPr>
          <w:szCs w:val="18"/>
          <w:lang w:val="en-US"/>
        </w:rPr>
      </w:pPr>
      <w:r w:rsidRPr="006F00E6">
        <w:rPr>
          <w:szCs w:val="18"/>
          <w:lang w:val="en-US"/>
        </w:rPr>
        <w:t>IRENA. (2021). Reaching zero with renewables - Capturing Carbon. In /Technical-Papers/Capturing-Carbon.</w:t>
      </w:r>
    </w:p>
    <w:p w14:paraId="55A8B504" w14:textId="77777777" w:rsidR="009A61A6" w:rsidRPr="00A02D35" w:rsidRDefault="009A61A6" w:rsidP="00A02D35">
      <w:pPr>
        <w:pStyle w:val="Els-referenceno-number"/>
        <w:jc w:val="both"/>
        <w:rPr>
          <w:szCs w:val="18"/>
          <w:lang w:val="es-CO"/>
        </w:rPr>
      </w:pPr>
      <w:r w:rsidRPr="006F00E6">
        <w:rPr>
          <w:szCs w:val="18"/>
          <w:lang w:val="en-US"/>
        </w:rPr>
        <w:t xml:space="preserve">Kaiser, M. J. (2017). A review of refinery complexity applications. </w:t>
      </w:r>
      <w:r w:rsidRPr="00A02D35">
        <w:rPr>
          <w:szCs w:val="18"/>
          <w:lang w:val="es-CO"/>
        </w:rPr>
        <w:t>Petroleum Science, 14(1), 167–194. https://doi.org/10.1007/s12182-016-0137-y</w:t>
      </w:r>
    </w:p>
    <w:p w14:paraId="44353198" w14:textId="77777777" w:rsidR="009A61A6" w:rsidRPr="006F00E6" w:rsidRDefault="009A61A6" w:rsidP="00A02D35">
      <w:pPr>
        <w:pStyle w:val="Els-referenceno-number"/>
        <w:jc w:val="both"/>
        <w:rPr>
          <w:szCs w:val="18"/>
          <w:lang w:val="en-US"/>
        </w:rPr>
      </w:pPr>
      <w:r w:rsidRPr="00A02D35">
        <w:rPr>
          <w:szCs w:val="18"/>
          <w:lang w:val="es-CO"/>
        </w:rPr>
        <w:t xml:space="preserve">Khoo, H. H., &amp; Tan, R. B. H. (2006). </w:t>
      </w:r>
      <w:r w:rsidRPr="006F00E6">
        <w:rPr>
          <w:szCs w:val="18"/>
          <w:lang w:val="en-US"/>
        </w:rPr>
        <w:t>Life cycle investigation of CO2 recovery and sequestration. Environmental Science and Technology, 40(12), 4016–4024. https://doi.org/10.1021/es051882a</w:t>
      </w:r>
    </w:p>
    <w:p w14:paraId="47BC7793" w14:textId="77777777" w:rsidR="009A61A6" w:rsidRPr="006F00E6" w:rsidRDefault="009A61A6" w:rsidP="00A02D35">
      <w:pPr>
        <w:pStyle w:val="Els-referenceno-number"/>
        <w:jc w:val="both"/>
        <w:rPr>
          <w:szCs w:val="18"/>
          <w:lang w:val="en-US"/>
        </w:rPr>
      </w:pPr>
      <w:r w:rsidRPr="006F00E6">
        <w:rPr>
          <w:szCs w:val="18"/>
          <w:lang w:val="en-US"/>
        </w:rPr>
        <w:t>Knoope, M. M. J., Ramírez, A., &amp; Faaij, A. P. C. (2015). Investing in CO2 transport infrastructure under uncertainty: A comparison between ships and pipelines. International Journal of Greenhouse Gas Control, 41, 174–193. https://doi.org/10.1016/j.ijggc.2015.07.013</w:t>
      </w:r>
    </w:p>
    <w:p w14:paraId="244416B3" w14:textId="77777777" w:rsidR="009A61A6" w:rsidRPr="006F00E6" w:rsidRDefault="009A61A6" w:rsidP="00A02D35">
      <w:pPr>
        <w:pStyle w:val="Els-referenceno-number"/>
        <w:jc w:val="both"/>
        <w:rPr>
          <w:szCs w:val="18"/>
          <w:lang w:val="en-US"/>
        </w:rPr>
      </w:pPr>
      <w:r w:rsidRPr="00A02D35">
        <w:rPr>
          <w:szCs w:val="18"/>
          <w:lang w:val="nl-NL"/>
        </w:rPr>
        <w:lastRenderedPageBreak/>
        <w:t xml:space="preserve">Meerman, J. C., Hamborg, E. S., van Keulen, T., Ramírez, A., Turkenburg, W. C., &amp; Faaij, A. P. C. (2012). </w:t>
      </w:r>
      <w:r w:rsidRPr="006F00E6">
        <w:rPr>
          <w:szCs w:val="18"/>
          <w:lang w:val="en-US"/>
        </w:rPr>
        <w:t>Techno-economic assessment of CO2 capture at steam methane reforming facilities using commercially available technology. International Journal of Greenhouse Gas Control, 9, 160–171. https://doi.org/10.1016/j.ijggc.2012.02.018</w:t>
      </w:r>
    </w:p>
    <w:p w14:paraId="632791C3" w14:textId="46E6D6D6" w:rsidR="009A61A6" w:rsidRPr="00A02D35" w:rsidRDefault="009A61A6" w:rsidP="00A02D35">
      <w:pPr>
        <w:pStyle w:val="Els-referenceno-number"/>
        <w:jc w:val="both"/>
        <w:rPr>
          <w:szCs w:val="18"/>
          <w:lang w:val="es-CO"/>
        </w:rPr>
      </w:pPr>
      <w:r w:rsidRPr="009834AA">
        <w:rPr>
          <w:szCs w:val="18"/>
          <w:lang w:val="it-IT"/>
        </w:rPr>
        <w:t xml:space="preserve">Oliveira, C., &amp; Schure, K. M. (2020). </w:t>
      </w:r>
      <w:r w:rsidR="00914092" w:rsidRPr="006F00E6">
        <w:rPr>
          <w:szCs w:val="18"/>
          <w:lang w:val="en-US"/>
        </w:rPr>
        <w:t xml:space="preserve">Decarbonisation options for the </w:t>
      </w:r>
      <w:r w:rsidR="001C557A">
        <w:rPr>
          <w:szCs w:val="18"/>
          <w:lang w:val="en-US"/>
        </w:rPr>
        <w:t>D</w:t>
      </w:r>
      <w:r w:rsidR="001C557A" w:rsidRPr="006F00E6">
        <w:rPr>
          <w:szCs w:val="18"/>
          <w:lang w:val="en-US"/>
        </w:rPr>
        <w:t xml:space="preserve">utch </w:t>
      </w:r>
      <w:r w:rsidR="00914092" w:rsidRPr="006F00E6">
        <w:rPr>
          <w:szCs w:val="18"/>
          <w:lang w:val="en-US"/>
        </w:rPr>
        <w:t>refinery sector</w:t>
      </w:r>
      <w:r w:rsidRPr="006F00E6">
        <w:rPr>
          <w:szCs w:val="18"/>
          <w:lang w:val="en-US"/>
        </w:rPr>
        <w:t xml:space="preserve">. </w:t>
      </w:r>
      <w:r w:rsidR="00914092" w:rsidRPr="00A02D35">
        <w:rPr>
          <w:szCs w:val="18"/>
          <w:lang w:val="es-CO"/>
        </w:rPr>
        <w:t>Dec.</w:t>
      </w:r>
    </w:p>
    <w:p w14:paraId="000FE3A6" w14:textId="77777777" w:rsidR="009A61A6" w:rsidRPr="00A02D35" w:rsidRDefault="009A61A6" w:rsidP="00A02D35">
      <w:pPr>
        <w:pStyle w:val="Els-referenceno-number"/>
        <w:jc w:val="both"/>
        <w:rPr>
          <w:szCs w:val="18"/>
          <w:lang w:val="es-CO"/>
        </w:rPr>
      </w:pPr>
      <w:r w:rsidRPr="00A02D35">
        <w:rPr>
          <w:szCs w:val="18"/>
          <w:lang w:val="es-CO"/>
        </w:rPr>
        <w:t>SIGEA. (2019). Ecopetrol Emissions report.</w:t>
      </w:r>
    </w:p>
    <w:p w14:paraId="7C9D09CE" w14:textId="77777777" w:rsidR="009A61A6" w:rsidRPr="00A02D35" w:rsidRDefault="009A61A6" w:rsidP="00A02D35">
      <w:pPr>
        <w:pStyle w:val="Els-referenceno-number"/>
        <w:jc w:val="both"/>
        <w:rPr>
          <w:szCs w:val="18"/>
          <w:lang w:val="es-CO"/>
        </w:rPr>
      </w:pPr>
      <w:r w:rsidRPr="00A02D35">
        <w:rPr>
          <w:szCs w:val="18"/>
          <w:lang w:val="es-CO"/>
        </w:rPr>
        <w:t>Unidad de Planeación Minero Energética (UPME). (2019). Documento de cálculo del Factor de emisión de SIN 2018.</w:t>
      </w:r>
    </w:p>
    <w:p w14:paraId="2F8E0E03" w14:textId="77777777" w:rsidR="009A61A6" w:rsidRPr="00A02D35" w:rsidRDefault="009A61A6" w:rsidP="00A02D35">
      <w:pPr>
        <w:pStyle w:val="Els-referenceno-number"/>
        <w:jc w:val="both"/>
        <w:rPr>
          <w:szCs w:val="18"/>
          <w:lang w:val="es-CO"/>
        </w:rPr>
      </w:pPr>
      <w:r w:rsidRPr="00A02D35">
        <w:rPr>
          <w:szCs w:val="18"/>
          <w:lang w:val="es-CO"/>
        </w:rPr>
        <w:t>XM. (2020). Precio promedio y energía transada. http://www.xm.com.co/Paginas/Mercado-de-energia/preciopromedio-y-energia-transada.aspx.</w:t>
      </w:r>
    </w:p>
    <w:p w14:paraId="77BC5909" w14:textId="77777777" w:rsidR="009A61A6" w:rsidRPr="006F00E6" w:rsidRDefault="009A61A6" w:rsidP="00A02D35">
      <w:pPr>
        <w:pStyle w:val="Els-referenceno-number"/>
        <w:jc w:val="both"/>
        <w:rPr>
          <w:szCs w:val="18"/>
          <w:lang w:val="en-US"/>
        </w:rPr>
      </w:pPr>
      <w:r w:rsidRPr="00A02D35">
        <w:rPr>
          <w:szCs w:val="18"/>
          <w:lang w:val="nl-NL"/>
        </w:rPr>
        <w:t xml:space="preserve">Yoo, B. Y., Choi, D. K., Kim, H. J., Moon, Y. S., Na, H. S., &amp; Lee, S. G. (2013). </w:t>
      </w:r>
      <w:r w:rsidRPr="006F00E6">
        <w:rPr>
          <w:szCs w:val="18"/>
          <w:lang w:val="en-US"/>
        </w:rPr>
        <w:t>Development of CO2 terminal and CO2 carrier for future commercialized CCS market. International Journal of Greenhouse Gas Control, 12, 323–332. https://doi.org/10.1016/j.ijggc.2012.11.008</w:t>
      </w:r>
    </w:p>
    <w:p w14:paraId="3ECD4F3F" w14:textId="4031C1CE" w:rsidR="001C557A" w:rsidRPr="001D316D" w:rsidRDefault="009A61A6" w:rsidP="001D316D">
      <w:pPr>
        <w:widowControl w:val="0"/>
        <w:autoSpaceDE w:val="0"/>
        <w:autoSpaceDN w:val="0"/>
        <w:adjustRightInd w:val="0"/>
        <w:ind w:left="284" w:hanging="284"/>
        <w:jc w:val="both"/>
      </w:pPr>
      <w:r w:rsidRPr="00A02D35">
        <w:rPr>
          <w:noProof/>
          <w:sz w:val="18"/>
          <w:szCs w:val="18"/>
          <w:lang w:val="en-US"/>
        </w:rPr>
        <w:t>Younis, A., Suarez, L., Lap, T., &amp; Edgar, Y. (2023). Exploring the spatiotemporal evolution of bioenergy with carbon capture and storage and decarbonization of oil refineries with a national</w:t>
      </w:r>
      <w:r w:rsidR="001C557A">
        <w:rPr>
          <w:noProof/>
          <w:sz w:val="18"/>
          <w:szCs w:val="18"/>
          <w:lang w:val="en-US"/>
        </w:rPr>
        <w:t xml:space="preserve"> </w:t>
      </w:r>
      <w:r w:rsidRPr="00A02D35">
        <w:rPr>
          <w:noProof/>
          <w:sz w:val="18"/>
          <w:szCs w:val="18"/>
          <w:lang w:val="en-US"/>
        </w:rPr>
        <w:t xml:space="preserve">energy system model of Colombia. 50(July). </w:t>
      </w:r>
      <w:r w:rsidR="001C557A" w:rsidRPr="001D316D">
        <w:t>https://doi.org/10.1016/j.esr.2023.101232</w:t>
      </w:r>
    </w:p>
    <w:sectPr w:rsidR="001C557A" w:rsidRPr="001D316D" w:rsidSect="00543711">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ndrea Ramirez Ramirez" w:date="2024-01-04T23:32:00Z" w:initials="ARR">
    <w:p w14:paraId="2A8287B6" w14:textId="77777777" w:rsidR="00B878A4" w:rsidRDefault="00B878A4" w:rsidP="00B878A4">
      <w:r>
        <w:rPr>
          <w:rStyle w:val="Rimandocommento"/>
        </w:rPr>
        <w:annotationRef/>
      </w:r>
      <w:r>
        <w:rPr>
          <w:color w:val="000000"/>
        </w:rPr>
        <w:t>no sure what you mean by “ensure the optimal route”</w:t>
      </w:r>
    </w:p>
  </w:comment>
  <w:comment w:id="5" w:author="Andrea Ramirez Ramirez" w:date="2024-01-04T23:47:00Z" w:initials="ARR">
    <w:p w14:paraId="289FFB56" w14:textId="77777777" w:rsidR="004C1787" w:rsidRDefault="004C1787" w:rsidP="004C1787">
      <w:r>
        <w:rPr>
          <w:rStyle w:val="Rimandocommento"/>
        </w:rPr>
        <w:annotationRef/>
      </w:r>
      <w:r>
        <w:rPr>
          <w:color w:val="000000"/>
        </w:rPr>
        <w:t>i moved this here because it flows better givent that you were describing the model in the paragrapgh before</w:t>
      </w:r>
    </w:p>
  </w:comment>
  <w:comment w:id="9" w:author="Andrea Ramirez Ramirez" w:date="2024-01-04T23:52:00Z" w:initials="ARR">
    <w:p w14:paraId="3AD80E6A" w14:textId="77777777" w:rsidR="004C1787" w:rsidRDefault="004C1787" w:rsidP="004C1787">
      <w:r>
        <w:rPr>
          <w:rStyle w:val="Rimandocommento"/>
        </w:rPr>
        <w:annotationRef/>
      </w:r>
      <w:r>
        <w:rPr>
          <w:color w:val="000000"/>
        </w:rPr>
        <w:t>units?</w:t>
      </w:r>
    </w:p>
  </w:comment>
  <w:comment w:id="12" w:author="Andrea Ramirez Ramirez" w:date="2024-01-05T00:01:00Z" w:initials="ARR">
    <w:p w14:paraId="111A6FE0" w14:textId="77777777" w:rsidR="0035607A" w:rsidRDefault="0035607A" w:rsidP="0035607A">
      <w:r>
        <w:rPr>
          <w:rStyle w:val="Rimandocommento"/>
        </w:rPr>
        <w:annotationRef/>
      </w:r>
      <w:r>
        <w:rPr>
          <w:color w:val="000000"/>
        </w:rPr>
        <w:t>nice paragraph, but I think it fits better your discussion more than the conclusion. You can move it there and it does not affect the conclusion section</w:t>
      </w:r>
    </w:p>
  </w:comment>
  <w:comment w:id="13" w:author="Andrea Ramirez Ramirez" w:date="2024-01-04T23:58:00Z" w:initials="ARR">
    <w:p w14:paraId="265C9BA8" w14:textId="77777777" w:rsidR="002C7F26" w:rsidRDefault="002C7F26" w:rsidP="002C7F26">
      <w:r>
        <w:rPr>
          <w:rStyle w:val="Rimandocommento"/>
        </w:rPr>
        <w:annotationRef/>
      </w:r>
      <w:r>
        <w:rPr>
          <w:color w:val="000000"/>
        </w:rPr>
        <w:t>what is limited?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8287B6" w15:done="1"/>
  <w15:commentEx w15:paraId="289FFB56" w15:done="1"/>
  <w15:commentEx w15:paraId="3AD80E6A" w15:done="1"/>
  <w15:commentEx w15:paraId="111A6FE0" w15:done="1"/>
  <w15:commentEx w15:paraId="265C9B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273C1B" w16cex:dateUtc="2024-01-04T22:32:00Z"/>
  <w16cex:commentExtensible w16cex:durableId="16F3F641" w16cex:dateUtc="2024-01-04T22:47:00Z">
    <w16cex:extLst>
      <w16:ext w16:uri="{CE6994B0-6A32-4C9F-8C6B-6E91EDA988CE}">
        <cr:reactions xmlns:cr="http://schemas.microsoft.com/office/comments/2020/reactions">
          <cr:reaction reactionType="1">
            <cr:reactionInfo dateUtc="2024-01-05T18:11:18Z">
              <cr:user userId="S::elopezbasto@tudelft.nl::b38db182-1cf9-45d7-bd84-00f92cab45d0" userProvider="AD" userName="Erik Lopez Basto"/>
            </cr:reactionInfo>
          </cr:reaction>
        </cr:reactions>
      </w16:ext>
    </w16cex:extLst>
  </w16cex:commentExtensible>
  <w16cex:commentExtensible w16cex:durableId="13306183" w16cex:dateUtc="2024-01-04T22:52:00Z"/>
  <w16cex:commentExtensible w16cex:durableId="49E1CE38" w16cex:dateUtc="2024-01-04T23:01:00Z"/>
  <w16cex:commentExtensible w16cex:durableId="4F73F2C6" w16cex:dateUtc="2024-01-04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287B6" w16cid:durableId="55273C1B"/>
  <w16cid:commentId w16cid:paraId="289FFB56" w16cid:durableId="16F3F641"/>
  <w16cid:commentId w16cid:paraId="3AD80E6A" w16cid:durableId="13306183"/>
  <w16cid:commentId w16cid:paraId="111A6FE0" w16cid:durableId="49E1CE38"/>
  <w16cid:commentId w16cid:paraId="265C9BA8" w16cid:durableId="4F73F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FB6D2" w14:textId="77777777" w:rsidR="00543711" w:rsidRDefault="00543711">
      <w:r>
        <w:separator/>
      </w:r>
    </w:p>
  </w:endnote>
  <w:endnote w:type="continuationSeparator" w:id="0">
    <w:p w14:paraId="37E85DE1" w14:textId="77777777" w:rsidR="00543711" w:rsidRDefault="0054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4BDB" w14:textId="77777777" w:rsidR="00543711" w:rsidRDefault="00543711">
      <w:r>
        <w:separator/>
      </w:r>
    </w:p>
  </w:footnote>
  <w:footnote w:type="continuationSeparator" w:id="0">
    <w:p w14:paraId="7A59F98C" w14:textId="77777777" w:rsidR="00543711" w:rsidRDefault="0054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E42FBB7" w:rsidR="00DD3D9E" w:rsidRDefault="00DD3D9E">
    <w:pPr>
      <w:pStyle w:val="Intestazione"/>
      <w:tabs>
        <w:tab w:val="clear" w:pos="7200"/>
        <w:tab w:val="right" w:pos="7088"/>
      </w:tabs>
    </w:pPr>
    <w:r>
      <w:rPr>
        <w:rStyle w:val="Numeropagina"/>
      </w:rPr>
      <w:tab/>
    </w:r>
    <w:r>
      <w:rPr>
        <w:rStyle w:val="Numeropagina"/>
        <w:i/>
      </w:rPr>
      <w:tab/>
    </w:r>
    <w:r w:rsidR="00B472D2">
      <w:rPr>
        <w:i/>
      </w:rPr>
      <w:t xml:space="preserve">López, E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38C8425" w:rsidR="00DD3D9E" w:rsidRDefault="00B472D2" w:rsidP="00B472D2">
    <w:pPr>
      <w:pStyle w:val="Intestazione"/>
      <w:tabs>
        <w:tab w:val="clear" w:pos="7200"/>
        <w:tab w:val="right" w:pos="7088"/>
      </w:tabs>
      <w:jc w:val="both"/>
      <w:rPr>
        <w:sz w:val="24"/>
      </w:rPr>
    </w:pPr>
    <w:r w:rsidRPr="00B472D2">
      <w:rPr>
        <w:i/>
      </w:rPr>
      <w:t>Impact assessment of CO</w:t>
    </w:r>
    <w:r w:rsidRPr="00610FED">
      <w:rPr>
        <w:i/>
        <w:vertAlign w:val="subscript"/>
      </w:rPr>
      <w:t>2</w:t>
    </w:r>
    <w:r w:rsidRPr="00B472D2">
      <w:rPr>
        <w:i/>
      </w:rPr>
      <w:t xml:space="preserve"> capture and low-carbon hydrogen technologies in </w:t>
    </w:r>
    <w:r>
      <w:rPr>
        <w:i/>
      </w:rPr>
      <w:t>C</w:t>
    </w:r>
    <w:r w:rsidRPr="00B472D2">
      <w:rPr>
        <w:i/>
      </w:rPr>
      <w:t>olombian oil refineries: A multi-criteria decision analysis and system optimization approach.</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4437A64"/>
    <w:multiLevelType w:val="hybridMultilevel"/>
    <w:tmpl w:val="5DCCBB4A"/>
    <w:lvl w:ilvl="0" w:tplc="04130001">
      <w:start w:val="5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9311E"/>
    <w:multiLevelType w:val="hybridMultilevel"/>
    <w:tmpl w:val="9880F9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142"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8A3F2A"/>
    <w:multiLevelType w:val="hybridMultilevel"/>
    <w:tmpl w:val="00CA9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5777B22"/>
    <w:multiLevelType w:val="hybridMultilevel"/>
    <w:tmpl w:val="40764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8742638"/>
    <w:multiLevelType w:val="hybridMultilevel"/>
    <w:tmpl w:val="E1726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5"/>
  </w:num>
  <w:num w:numId="3">
    <w:abstractNumId w:val="15"/>
  </w:num>
  <w:num w:numId="4">
    <w:abstractNumId w:val="15"/>
  </w:num>
  <w:num w:numId="5">
    <w:abstractNumId w:val="0"/>
  </w:num>
  <w:num w:numId="6">
    <w:abstractNumId w:val="8"/>
  </w:num>
  <w:num w:numId="7">
    <w:abstractNumId w:val="17"/>
  </w:num>
  <w:num w:numId="8">
    <w:abstractNumId w:val="3"/>
  </w:num>
  <w:num w:numId="9">
    <w:abstractNumId w:val="13"/>
  </w:num>
  <w:num w:numId="10">
    <w:abstractNumId w:val="19"/>
  </w:num>
  <w:num w:numId="11">
    <w:abstractNumId w:val="18"/>
  </w:num>
  <w:num w:numId="12">
    <w:abstractNumId w:val="7"/>
  </w:num>
  <w:num w:numId="13">
    <w:abstractNumId w:val="11"/>
  </w:num>
  <w:num w:numId="14">
    <w:abstractNumId w:val="4"/>
  </w:num>
  <w:num w:numId="15">
    <w:abstractNumId w:val="9"/>
  </w:num>
  <w:num w:numId="16">
    <w:abstractNumId w:val="5"/>
  </w:num>
  <w:num w:numId="17">
    <w:abstractNumId w:val="6"/>
  </w:num>
  <w:num w:numId="18">
    <w:abstractNumId w:val="12"/>
  </w:num>
  <w:num w:numId="19">
    <w:abstractNumId w:val="14"/>
  </w:num>
  <w:num w:numId="20">
    <w:abstractNumId w:val="2"/>
  </w:num>
  <w:num w:numId="21">
    <w:abstractNumId w:val="10"/>
  </w:num>
  <w:num w:numId="22">
    <w:abstractNumId w:val="16"/>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Ramirez Ramirez">
    <w15:presenceInfo w15:providerId="AD" w15:userId="S::aramirezramire@tudelft.nl::eea39f29-191b-4373-9a49-87050a385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NDKxMDG1MDe2MDJT0lEKTi0uzszPAykwNK0FAAyRi3UtAAAA"/>
  </w:docVars>
  <w:rsids>
    <w:rsidRoot w:val="00B63237"/>
    <w:rsid w:val="0001361C"/>
    <w:rsid w:val="0003703D"/>
    <w:rsid w:val="00051059"/>
    <w:rsid w:val="00074C1E"/>
    <w:rsid w:val="000829C3"/>
    <w:rsid w:val="00090EA6"/>
    <w:rsid w:val="000A42D9"/>
    <w:rsid w:val="000B5110"/>
    <w:rsid w:val="000B70B4"/>
    <w:rsid w:val="000C4236"/>
    <w:rsid w:val="000C57EA"/>
    <w:rsid w:val="000C6F63"/>
    <w:rsid w:val="000D3D9B"/>
    <w:rsid w:val="000D73D5"/>
    <w:rsid w:val="000E3CC0"/>
    <w:rsid w:val="000F040C"/>
    <w:rsid w:val="00110056"/>
    <w:rsid w:val="00140465"/>
    <w:rsid w:val="001479D9"/>
    <w:rsid w:val="00154679"/>
    <w:rsid w:val="0016032F"/>
    <w:rsid w:val="001879F6"/>
    <w:rsid w:val="001909B6"/>
    <w:rsid w:val="00194937"/>
    <w:rsid w:val="001A308D"/>
    <w:rsid w:val="001B4EA6"/>
    <w:rsid w:val="001C0148"/>
    <w:rsid w:val="001C1908"/>
    <w:rsid w:val="001C3CF9"/>
    <w:rsid w:val="001C557A"/>
    <w:rsid w:val="001C757E"/>
    <w:rsid w:val="001D316D"/>
    <w:rsid w:val="001D599E"/>
    <w:rsid w:val="001E3AEF"/>
    <w:rsid w:val="001E4305"/>
    <w:rsid w:val="001F1583"/>
    <w:rsid w:val="001F25C5"/>
    <w:rsid w:val="00201C59"/>
    <w:rsid w:val="0020390F"/>
    <w:rsid w:val="0020472A"/>
    <w:rsid w:val="0021433D"/>
    <w:rsid w:val="00230EA3"/>
    <w:rsid w:val="00236075"/>
    <w:rsid w:val="002437CE"/>
    <w:rsid w:val="002478AB"/>
    <w:rsid w:val="002544AD"/>
    <w:rsid w:val="00254D92"/>
    <w:rsid w:val="00264926"/>
    <w:rsid w:val="002679B7"/>
    <w:rsid w:val="00270F08"/>
    <w:rsid w:val="00272F9F"/>
    <w:rsid w:val="00274ED0"/>
    <w:rsid w:val="002A1BBC"/>
    <w:rsid w:val="002C7F26"/>
    <w:rsid w:val="002D0905"/>
    <w:rsid w:val="002D15CA"/>
    <w:rsid w:val="002F2FD7"/>
    <w:rsid w:val="002F4050"/>
    <w:rsid w:val="00315448"/>
    <w:rsid w:val="0033098F"/>
    <w:rsid w:val="0035607A"/>
    <w:rsid w:val="00364EDC"/>
    <w:rsid w:val="00376CB7"/>
    <w:rsid w:val="003873C2"/>
    <w:rsid w:val="00397F51"/>
    <w:rsid w:val="003A3EB5"/>
    <w:rsid w:val="003D0B6E"/>
    <w:rsid w:val="003D1582"/>
    <w:rsid w:val="003D1D37"/>
    <w:rsid w:val="003D7E4C"/>
    <w:rsid w:val="003E13B0"/>
    <w:rsid w:val="003E41C2"/>
    <w:rsid w:val="003E5AA2"/>
    <w:rsid w:val="003F18C5"/>
    <w:rsid w:val="003F5780"/>
    <w:rsid w:val="00452E50"/>
    <w:rsid w:val="00481EF1"/>
    <w:rsid w:val="0048411D"/>
    <w:rsid w:val="0049772C"/>
    <w:rsid w:val="004C1787"/>
    <w:rsid w:val="004C4E0A"/>
    <w:rsid w:val="004F6915"/>
    <w:rsid w:val="005013F1"/>
    <w:rsid w:val="00514B76"/>
    <w:rsid w:val="005251D7"/>
    <w:rsid w:val="00525E6C"/>
    <w:rsid w:val="00543711"/>
    <w:rsid w:val="00552EEB"/>
    <w:rsid w:val="00565248"/>
    <w:rsid w:val="00583658"/>
    <w:rsid w:val="005924F0"/>
    <w:rsid w:val="00593ABE"/>
    <w:rsid w:val="005A3FBA"/>
    <w:rsid w:val="005B3A04"/>
    <w:rsid w:val="005C431F"/>
    <w:rsid w:val="005C6F43"/>
    <w:rsid w:val="005D5796"/>
    <w:rsid w:val="005D64BA"/>
    <w:rsid w:val="005D6811"/>
    <w:rsid w:val="005E63D3"/>
    <w:rsid w:val="005E6D23"/>
    <w:rsid w:val="006029BD"/>
    <w:rsid w:val="00610926"/>
    <w:rsid w:val="00610FED"/>
    <w:rsid w:val="00616DBE"/>
    <w:rsid w:val="006202AE"/>
    <w:rsid w:val="006204BF"/>
    <w:rsid w:val="006415DD"/>
    <w:rsid w:val="00642E7D"/>
    <w:rsid w:val="00645808"/>
    <w:rsid w:val="0064643A"/>
    <w:rsid w:val="006478A0"/>
    <w:rsid w:val="00661BF7"/>
    <w:rsid w:val="00676A4D"/>
    <w:rsid w:val="00695373"/>
    <w:rsid w:val="006A2C4D"/>
    <w:rsid w:val="006A3530"/>
    <w:rsid w:val="006A46BF"/>
    <w:rsid w:val="006A69BF"/>
    <w:rsid w:val="006E15B9"/>
    <w:rsid w:val="006E3B56"/>
    <w:rsid w:val="006E64C8"/>
    <w:rsid w:val="006F00E6"/>
    <w:rsid w:val="006F262F"/>
    <w:rsid w:val="00711DF4"/>
    <w:rsid w:val="00715BAB"/>
    <w:rsid w:val="00716F7E"/>
    <w:rsid w:val="00722DF3"/>
    <w:rsid w:val="0073130C"/>
    <w:rsid w:val="0074322B"/>
    <w:rsid w:val="00750533"/>
    <w:rsid w:val="00756732"/>
    <w:rsid w:val="00766A71"/>
    <w:rsid w:val="00767A88"/>
    <w:rsid w:val="007706C5"/>
    <w:rsid w:val="0077694A"/>
    <w:rsid w:val="00781FB4"/>
    <w:rsid w:val="00785819"/>
    <w:rsid w:val="00786804"/>
    <w:rsid w:val="007A768D"/>
    <w:rsid w:val="007B2818"/>
    <w:rsid w:val="007C0B5F"/>
    <w:rsid w:val="007C0F45"/>
    <w:rsid w:val="007C7FBD"/>
    <w:rsid w:val="007D1555"/>
    <w:rsid w:val="007D6D82"/>
    <w:rsid w:val="007D70A1"/>
    <w:rsid w:val="007E0191"/>
    <w:rsid w:val="007E19BA"/>
    <w:rsid w:val="007E74F0"/>
    <w:rsid w:val="007F3D46"/>
    <w:rsid w:val="007F4930"/>
    <w:rsid w:val="007F703A"/>
    <w:rsid w:val="007F7438"/>
    <w:rsid w:val="008040BC"/>
    <w:rsid w:val="00806CB3"/>
    <w:rsid w:val="00807C34"/>
    <w:rsid w:val="008132E8"/>
    <w:rsid w:val="0082030D"/>
    <w:rsid w:val="00823407"/>
    <w:rsid w:val="00834FDF"/>
    <w:rsid w:val="008356C4"/>
    <w:rsid w:val="008379C8"/>
    <w:rsid w:val="00841378"/>
    <w:rsid w:val="00842322"/>
    <w:rsid w:val="00853527"/>
    <w:rsid w:val="0086322F"/>
    <w:rsid w:val="00880431"/>
    <w:rsid w:val="0088674B"/>
    <w:rsid w:val="00887C5B"/>
    <w:rsid w:val="00890EDF"/>
    <w:rsid w:val="00892F9B"/>
    <w:rsid w:val="008A4533"/>
    <w:rsid w:val="008A66FB"/>
    <w:rsid w:val="008B0184"/>
    <w:rsid w:val="008B4812"/>
    <w:rsid w:val="008C05AB"/>
    <w:rsid w:val="008C28B0"/>
    <w:rsid w:val="008C5D02"/>
    <w:rsid w:val="008D2649"/>
    <w:rsid w:val="008D5544"/>
    <w:rsid w:val="008D5A8B"/>
    <w:rsid w:val="008E2DBC"/>
    <w:rsid w:val="0090568D"/>
    <w:rsid w:val="009125C9"/>
    <w:rsid w:val="00913879"/>
    <w:rsid w:val="00914092"/>
    <w:rsid w:val="00917661"/>
    <w:rsid w:val="00926F23"/>
    <w:rsid w:val="00962283"/>
    <w:rsid w:val="00963BA9"/>
    <w:rsid w:val="00964F54"/>
    <w:rsid w:val="009657BA"/>
    <w:rsid w:val="00970E5D"/>
    <w:rsid w:val="00971866"/>
    <w:rsid w:val="00976D67"/>
    <w:rsid w:val="0097701C"/>
    <w:rsid w:val="00980A65"/>
    <w:rsid w:val="009834AA"/>
    <w:rsid w:val="00984795"/>
    <w:rsid w:val="009918ED"/>
    <w:rsid w:val="009960E3"/>
    <w:rsid w:val="009A1B30"/>
    <w:rsid w:val="009A1FD4"/>
    <w:rsid w:val="009A61A6"/>
    <w:rsid w:val="009B7D28"/>
    <w:rsid w:val="009C01E2"/>
    <w:rsid w:val="009D65DE"/>
    <w:rsid w:val="009D72AC"/>
    <w:rsid w:val="009E5076"/>
    <w:rsid w:val="009E77F0"/>
    <w:rsid w:val="009F63D5"/>
    <w:rsid w:val="00A01755"/>
    <w:rsid w:val="00A02D35"/>
    <w:rsid w:val="00A05724"/>
    <w:rsid w:val="00A07125"/>
    <w:rsid w:val="00A141F4"/>
    <w:rsid w:val="00A24058"/>
    <w:rsid w:val="00A25E70"/>
    <w:rsid w:val="00A33765"/>
    <w:rsid w:val="00A439B4"/>
    <w:rsid w:val="00A475FA"/>
    <w:rsid w:val="00A54B0C"/>
    <w:rsid w:val="00A55CE0"/>
    <w:rsid w:val="00A63269"/>
    <w:rsid w:val="00A8596F"/>
    <w:rsid w:val="00A91CE0"/>
    <w:rsid w:val="00A92377"/>
    <w:rsid w:val="00A9524D"/>
    <w:rsid w:val="00AB2425"/>
    <w:rsid w:val="00AB29ED"/>
    <w:rsid w:val="00AE4BD8"/>
    <w:rsid w:val="00AE7846"/>
    <w:rsid w:val="00AE7E2C"/>
    <w:rsid w:val="00AF21B8"/>
    <w:rsid w:val="00AF7E3D"/>
    <w:rsid w:val="00B00B95"/>
    <w:rsid w:val="00B075F6"/>
    <w:rsid w:val="00B344FE"/>
    <w:rsid w:val="00B36A1E"/>
    <w:rsid w:val="00B4388F"/>
    <w:rsid w:val="00B46935"/>
    <w:rsid w:val="00B472D2"/>
    <w:rsid w:val="00B63237"/>
    <w:rsid w:val="00B66035"/>
    <w:rsid w:val="00B700AD"/>
    <w:rsid w:val="00B72C87"/>
    <w:rsid w:val="00B85AC2"/>
    <w:rsid w:val="00B878A4"/>
    <w:rsid w:val="00B9077A"/>
    <w:rsid w:val="00B948B7"/>
    <w:rsid w:val="00BA31E4"/>
    <w:rsid w:val="00BB320C"/>
    <w:rsid w:val="00BC5440"/>
    <w:rsid w:val="00BC589B"/>
    <w:rsid w:val="00BE1708"/>
    <w:rsid w:val="00BE71BC"/>
    <w:rsid w:val="00BF603A"/>
    <w:rsid w:val="00C01D2D"/>
    <w:rsid w:val="00C119C7"/>
    <w:rsid w:val="00C1260B"/>
    <w:rsid w:val="00C22F2D"/>
    <w:rsid w:val="00C44EB6"/>
    <w:rsid w:val="00C5104D"/>
    <w:rsid w:val="00C60E5C"/>
    <w:rsid w:val="00C70C34"/>
    <w:rsid w:val="00C960DC"/>
    <w:rsid w:val="00CA0BD3"/>
    <w:rsid w:val="00CA0F24"/>
    <w:rsid w:val="00CA3380"/>
    <w:rsid w:val="00CC51E9"/>
    <w:rsid w:val="00CD67F1"/>
    <w:rsid w:val="00CE1A8E"/>
    <w:rsid w:val="00CF7560"/>
    <w:rsid w:val="00D02C75"/>
    <w:rsid w:val="00D0493A"/>
    <w:rsid w:val="00D05FCF"/>
    <w:rsid w:val="00D10E22"/>
    <w:rsid w:val="00D1377F"/>
    <w:rsid w:val="00D13D2C"/>
    <w:rsid w:val="00D50821"/>
    <w:rsid w:val="00D55A33"/>
    <w:rsid w:val="00D85F62"/>
    <w:rsid w:val="00DC2F94"/>
    <w:rsid w:val="00DD3D9E"/>
    <w:rsid w:val="00DD7908"/>
    <w:rsid w:val="00DE341B"/>
    <w:rsid w:val="00DE3BD8"/>
    <w:rsid w:val="00DE40B1"/>
    <w:rsid w:val="00DE4B0B"/>
    <w:rsid w:val="00DE777D"/>
    <w:rsid w:val="00E130BC"/>
    <w:rsid w:val="00E1588D"/>
    <w:rsid w:val="00E3681C"/>
    <w:rsid w:val="00E515AA"/>
    <w:rsid w:val="00E65A79"/>
    <w:rsid w:val="00E65B47"/>
    <w:rsid w:val="00E673D9"/>
    <w:rsid w:val="00E74134"/>
    <w:rsid w:val="00E82297"/>
    <w:rsid w:val="00E94DE5"/>
    <w:rsid w:val="00E979EB"/>
    <w:rsid w:val="00ED4C02"/>
    <w:rsid w:val="00EE2E83"/>
    <w:rsid w:val="00EE7181"/>
    <w:rsid w:val="00EF39FD"/>
    <w:rsid w:val="00F06842"/>
    <w:rsid w:val="00F107FD"/>
    <w:rsid w:val="00F10FFC"/>
    <w:rsid w:val="00F15B21"/>
    <w:rsid w:val="00F17B12"/>
    <w:rsid w:val="00F17C01"/>
    <w:rsid w:val="00F21AF1"/>
    <w:rsid w:val="00F2769B"/>
    <w:rsid w:val="00F50997"/>
    <w:rsid w:val="00F50DD5"/>
    <w:rsid w:val="00F561E4"/>
    <w:rsid w:val="00F72F5E"/>
    <w:rsid w:val="00F81386"/>
    <w:rsid w:val="00FA478E"/>
    <w:rsid w:val="00FB64A8"/>
    <w:rsid w:val="00FC31EC"/>
    <w:rsid w:val="00FD0F41"/>
    <w:rsid w:val="00FF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uiPriority w:val="99"/>
    <w:semiHidden/>
    <w:rsid w:val="008B0184"/>
    <w:rPr>
      <w:vertAlign w:val="superscript"/>
    </w:rPr>
  </w:style>
  <w:style w:type="paragraph" w:styleId="Testonotaapidipagina">
    <w:name w:val="footnote text"/>
    <w:basedOn w:val="Normale"/>
    <w:link w:val="TestonotaapidipaginaCarattere"/>
    <w:uiPriority w:val="99"/>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uiPriority w:val="99"/>
    <w:semiHidden/>
    <w:rsid w:val="008B0184"/>
    <w:rPr>
      <w:sz w:val="16"/>
      <w:szCs w:val="16"/>
    </w:rPr>
  </w:style>
  <w:style w:type="paragraph" w:styleId="Testocommento">
    <w:name w:val="annotation text"/>
    <w:basedOn w:val="Normale"/>
    <w:link w:val="TestocommentoCarattere"/>
    <w:uiPriority w:val="99"/>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1C3CF9"/>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CA338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basedOn w:val="Carpredefinitoparagrafo"/>
    <w:link w:val="Testonotaapidipagina"/>
    <w:uiPriority w:val="99"/>
    <w:semiHidden/>
    <w:rsid w:val="00CA3380"/>
    <w:rPr>
      <w:rFonts w:ascii="Univers" w:hAnsi="Univers"/>
      <w:lang w:eastAsia="en-US"/>
    </w:rPr>
  </w:style>
  <w:style w:type="character" w:customStyle="1" w:styleId="TestocommentoCarattere">
    <w:name w:val="Testo commento Carattere"/>
    <w:basedOn w:val="Carpredefinitoparagrafo"/>
    <w:link w:val="Testocommento"/>
    <w:uiPriority w:val="99"/>
    <w:rsid w:val="00CA3380"/>
    <w:rPr>
      <w:lang w:eastAsia="en-US"/>
    </w:rPr>
  </w:style>
  <w:style w:type="paragraph" w:styleId="Paragrafoelenco">
    <w:name w:val="List Paragraph"/>
    <w:basedOn w:val="Normale"/>
    <w:uiPriority w:val="34"/>
    <w:qFormat/>
    <w:rsid w:val="008356C4"/>
    <w:pPr>
      <w:ind w:left="720"/>
      <w:contextualSpacing/>
    </w:pPr>
  </w:style>
  <w:style w:type="paragraph" w:styleId="Revisione">
    <w:name w:val="Revision"/>
    <w:hidden/>
    <w:uiPriority w:val="99"/>
    <w:semiHidden/>
    <w:rsid w:val="0003703D"/>
    <w:rPr>
      <w:lang w:eastAsia="en-US"/>
    </w:rPr>
  </w:style>
  <w:style w:type="character" w:customStyle="1" w:styleId="cf01">
    <w:name w:val="cf01"/>
    <w:basedOn w:val="Carpredefinitoparagrafo"/>
    <w:rsid w:val="002437CE"/>
    <w:rPr>
      <w:rFonts w:ascii="Segoe UI" w:hAnsi="Segoe UI" w:cs="Segoe UI" w:hint="default"/>
      <w:sz w:val="18"/>
      <w:szCs w:val="18"/>
    </w:rPr>
  </w:style>
  <w:style w:type="character" w:styleId="Menzionenonrisolta">
    <w:name w:val="Unresolved Mention"/>
    <w:basedOn w:val="Carpredefinitoparagrafo"/>
    <w:uiPriority w:val="99"/>
    <w:semiHidden/>
    <w:unhideWhenUsed/>
    <w:rsid w:val="009A1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BB8A-AFBD-4D8C-A788-EA493ACC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TotalTime>
  <Pages>6</Pages>
  <Words>2942</Words>
  <Characters>37391</Characters>
  <Application>Microsoft Office Word</Application>
  <DocSecurity>0</DocSecurity>
  <Lines>311</Lines>
  <Paragraphs>80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40253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2023-11-22T13:23:00Z</cp:lastPrinted>
  <dcterms:created xsi:type="dcterms:W3CDTF">2024-01-05T18:43:00Z</dcterms:created>
  <dcterms:modified xsi:type="dcterms:W3CDTF">2024-01-07T11:22:00Z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11th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9th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6821d1f5-c9bc-37e0-90c0-a98152d1103d</vt:lpwstr>
  </property>
  <property fmtid="{D5CDD505-2E9C-101B-9397-08002B2CF9AE}" pid="32" name="Mendeley Citation Style_1">
    <vt:lpwstr>http://www.zotero.org/styles/apa</vt:lpwstr>
  </property>
</Properties>
</file>